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4BC2" w14:textId="77777777" w:rsidR="001676E0" w:rsidRPr="00DA1CCB" w:rsidRDefault="001676E0" w:rsidP="00B466FC">
      <w:pPr>
        <w:rPr>
          <w:rFonts w:ascii="Calibri" w:hAnsi="Calibri"/>
          <w:color w:val="000000"/>
          <w:sz w:val="16"/>
          <w:szCs w:val="16"/>
          <w:lang w:val="en-GB"/>
        </w:rPr>
      </w:pPr>
      <w:bookmarkStart w:id="0" w:name="_Toc173461836"/>
      <w:bookmarkStart w:id="1" w:name="_Toc173462585"/>
      <w:bookmarkStart w:id="2" w:name="_Toc173462919"/>
      <w:bookmarkStart w:id="3" w:name="_Toc173462999"/>
      <w:bookmarkStart w:id="4" w:name="_Toc173463196"/>
      <w:bookmarkStart w:id="5" w:name="_GoBack"/>
      <w:bookmarkEnd w:id="5"/>
    </w:p>
    <w:p w14:paraId="0DA31B82" w14:textId="77777777" w:rsidR="006E247E" w:rsidRPr="00DA1CCB" w:rsidRDefault="006E247E" w:rsidP="00B466FC">
      <w:pPr>
        <w:rPr>
          <w:rFonts w:ascii="Calibri" w:hAnsi="Calibri"/>
          <w:color w:val="000000"/>
          <w:sz w:val="16"/>
          <w:szCs w:val="16"/>
          <w:lang w:val="en-GB"/>
        </w:rPr>
      </w:pPr>
    </w:p>
    <w:p w14:paraId="45630F63" w14:textId="77777777" w:rsidR="001B697A" w:rsidRPr="00DA1CCB" w:rsidRDefault="001B697A" w:rsidP="00B466FC">
      <w:pPr>
        <w:rPr>
          <w:rFonts w:ascii="Calibri" w:hAnsi="Calibri"/>
          <w:color w:val="000000"/>
          <w:sz w:val="16"/>
          <w:szCs w:val="16"/>
          <w:lang w:val="en-GB"/>
        </w:rPr>
      </w:pPr>
    </w:p>
    <w:p w14:paraId="0452158C" w14:textId="77777777" w:rsidR="008A6130" w:rsidRPr="00DA1CCB" w:rsidRDefault="008A6130" w:rsidP="00B466FC">
      <w:pPr>
        <w:rPr>
          <w:rFonts w:ascii="Arial" w:hAnsi="Arial" w:cs="Arial"/>
          <w:color w:val="000000"/>
          <w:sz w:val="16"/>
          <w:szCs w:val="16"/>
        </w:rPr>
      </w:pPr>
    </w:p>
    <w:p w14:paraId="5C114166" w14:textId="77777777" w:rsidR="00B466FC" w:rsidRPr="00DA1CCB" w:rsidRDefault="00B466FC" w:rsidP="00B466FC">
      <w:pPr>
        <w:rPr>
          <w:rFonts w:ascii="Arial" w:hAnsi="Arial" w:cs="Arial"/>
          <w:color w:val="000000"/>
          <w:sz w:val="16"/>
          <w:szCs w:val="16"/>
        </w:rPr>
      </w:pPr>
    </w:p>
    <w:p w14:paraId="1D06BFF9" w14:textId="77777777" w:rsidR="00196F1F" w:rsidRPr="00DA1CCB" w:rsidRDefault="00DE387F" w:rsidP="00196F1F">
      <w:pPr>
        <w:pStyle w:val="Title"/>
        <w:rPr>
          <w:color w:val="000000"/>
        </w:rPr>
      </w:pPr>
      <w:bookmarkStart w:id="6" w:name="_Toc173461835"/>
      <w:bookmarkStart w:id="7" w:name="_Toc173462584"/>
      <w:bookmarkStart w:id="8" w:name="_Toc173462918"/>
      <w:bookmarkStart w:id="9" w:name="_Toc173462998"/>
      <w:bookmarkStart w:id="10" w:name="_Toc173463195"/>
      <w:bookmarkEnd w:id="0"/>
      <w:bookmarkEnd w:id="1"/>
      <w:bookmarkEnd w:id="2"/>
      <w:bookmarkEnd w:id="3"/>
      <w:bookmarkEnd w:id="4"/>
      <w:r w:rsidRPr="00DA1CCB">
        <w:rPr>
          <w:noProof/>
          <w:color w:val="000000"/>
          <w:lang w:val="en-GB" w:eastAsia="en-GB"/>
        </w:rPr>
        <w:drawing>
          <wp:anchor distT="0" distB="0" distL="114300" distR="114300" simplePos="0" relativeHeight="251659264" behindDoc="1" locked="0" layoutInCell="1" allowOverlap="1" wp14:anchorId="49A43BFB" wp14:editId="3C9DF9CE">
            <wp:simplePos x="0" y="0"/>
            <wp:positionH relativeFrom="column">
              <wp:posOffset>1364615</wp:posOffset>
            </wp:positionH>
            <wp:positionV relativeFrom="paragraph">
              <wp:posOffset>124460</wp:posOffset>
            </wp:positionV>
            <wp:extent cx="1471295" cy="603885"/>
            <wp:effectExtent l="0" t="0" r="0" b="0"/>
            <wp:wrapTight wrapText="bothSides">
              <wp:wrapPolygon edited="0">
                <wp:start x="0" y="0"/>
                <wp:lineTo x="0" y="20896"/>
                <wp:lineTo x="21255" y="20896"/>
                <wp:lineTo x="21255" y="0"/>
                <wp:lineTo x="0" y="0"/>
              </wp:wrapPolygon>
            </wp:wrapTight>
            <wp:docPr id="20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71295" cy="603885"/>
                    </a:xfrm>
                    <a:prstGeom prst="rect">
                      <a:avLst/>
                    </a:prstGeom>
                    <a:noFill/>
                    <a:ln>
                      <a:noFill/>
                    </a:ln>
                  </pic:spPr>
                </pic:pic>
              </a:graphicData>
            </a:graphic>
            <wp14:sizeRelH relativeFrom="margin">
              <wp14:pctWidth>0</wp14:pctWidth>
            </wp14:sizeRelH>
          </wp:anchor>
        </w:drawing>
      </w:r>
    </w:p>
    <w:p w14:paraId="26FF65BC" w14:textId="77777777" w:rsidR="00196F1F" w:rsidRPr="00DA1CCB" w:rsidRDefault="00196F1F" w:rsidP="00196F1F">
      <w:pPr>
        <w:pStyle w:val="Title"/>
        <w:rPr>
          <w:color w:val="000000"/>
        </w:rPr>
      </w:pPr>
    </w:p>
    <w:p w14:paraId="2EEEB291" w14:textId="77777777" w:rsidR="00196F1F" w:rsidRPr="00DA1CCB" w:rsidRDefault="00196F1F" w:rsidP="00196F1F">
      <w:pPr>
        <w:pStyle w:val="Title"/>
        <w:rPr>
          <w:color w:val="000000"/>
        </w:rPr>
      </w:pPr>
    </w:p>
    <w:p w14:paraId="16453347" w14:textId="77777777" w:rsidR="00196F1F" w:rsidRPr="00DA1CCB" w:rsidRDefault="00196F1F" w:rsidP="00196F1F">
      <w:pPr>
        <w:pStyle w:val="Title"/>
        <w:rPr>
          <w:color w:val="000000"/>
        </w:rPr>
      </w:pPr>
    </w:p>
    <w:bookmarkEnd w:id="6"/>
    <w:bookmarkEnd w:id="7"/>
    <w:bookmarkEnd w:id="8"/>
    <w:bookmarkEnd w:id="9"/>
    <w:bookmarkEnd w:id="10"/>
    <w:p w14:paraId="77CCF305" w14:textId="77777777" w:rsidR="00196F1F" w:rsidRPr="00DA1CCB" w:rsidRDefault="00196F1F" w:rsidP="00196F1F">
      <w:pPr>
        <w:pStyle w:val="Title"/>
        <w:rPr>
          <w:color w:val="000000"/>
        </w:rPr>
      </w:pPr>
      <w:r w:rsidRPr="00DA1CCB">
        <w:rPr>
          <w:color w:val="000000"/>
        </w:rPr>
        <w:t>Rules of Shooting</w:t>
      </w:r>
    </w:p>
    <w:p w14:paraId="0C940AEB" w14:textId="77777777" w:rsidR="00196F1F" w:rsidRPr="00DA1CCB" w:rsidRDefault="00196F1F" w:rsidP="00196F1F">
      <w:pPr>
        <w:rPr>
          <w:color w:val="000000"/>
        </w:rPr>
      </w:pPr>
    </w:p>
    <w:p w14:paraId="267395D7" w14:textId="77777777" w:rsidR="00196F1F" w:rsidRPr="00DA1CCB" w:rsidRDefault="00196F1F" w:rsidP="00196F1F">
      <w:pPr>
        <w:pStyle w:val="Subtitle"/>
        <w:rPr>
          <w:color w:val="000000"/>
        </w:rPr>
      </w:pPr>
    </w:p>
    <w:p w14:paraId="3B4822FC" w14:textId="77777777" w:rsidR="00196F1F" w:rsidRPr="00DA1CCB" w:rsidRDefault="00196F1F" w:rsidP="00196F1F">
      <w:pPr>
        <w:rPr>
          <w:color w:val="000000"/>
        </w:rPr>
      </w:pPr>
    </w:p>
    <w:p w14:paraId="5972FB22" w14:textId="77777777" w:rsidR="00DB0DC6" w:rsidRPr="00DA1CCB" w:rsidRDefault="00DB0DC6" w:rsidP="00DB0DC6">
      <w:pPr>
        <w:rPr>
          <w:color w:val="000000"/>
        </w:rPr>
      </w:pP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DB0DC6" w:rsidRPr="00DA1CCB" w14:paraId="7D5A8F22" w14:textId="77777777" w:rsidTr="0052177C">
        <w:tc>
          <w:tcPr>
            <w:tcW w:w="6745" w:type="dxa"/>
            <w:shd w:val="clear" w:color="auto" w:fill="auto"/>
            <w:vAlign w:val="center"/>
          </w:tcPr>
          <w:p w14:paraId="2B191C2C" w14:textId="77777777" w:rsidR="00DB0DC6" w:rsidRPr="00DA1CCB" w:rsidRDefault="0078081F" w:rsidP="0078081F">
            <w:pPr>
              <w:pStyle w:val="Table"/>
              <w:jc w:val="center"/>
              <w:rPr>
                <w:b/>
                <w:color w:val="000000"/>
              </w:rPr>
            </w:pPr>
            <w:r>
              <w:rPr>
                <w:b/>
                <w:color w:val="000000"/>
              </w:rPr>
              <w:t>Summary of changes effective 1st April 2017</w:t>
            </w:r>
          </w:p>
        </w:tc>
      </w:tr>
    </w:tbl>
    <w:p w14:paraId="163212AD" w14:textId="77777777" w:rsidR="00DB0DC6" w:rsidRPr="00DA1CCB" w:rsidRDefault="00DB0DC6" w:rsidP="00DB0DC6">
      <w:pPr>
        <w:ind w:left="360" w:hanging="360"/>
        <w:rPr>
          <w:rFonts w:ascii="Calibri" w:hAnsi="Calibri" w:cs="Calibri"/>
          <w:bCs/>
          <w:snapToGrid w:val="0"/>
          <w:color w:val="000000"/>
          <w:sz w:val="16"/>
        </w:rPr>
      </w:pPr>
    </w:p>
    <w:p w14:paraId="1A032C20" w14:textId="77777777" w:rsidR="0078081F" w:rsidRPr="0078081F" w:rsidRDefault="0078081F" w:rsidP="0078081F">
      <w:pPr>
        <w:pStyle w:val="Heading1"/>
        <w:rPr>
          <w:rFonts w:asciiTheme="minorHAnsi" w:hAnsiTheme="minorHAnsi"/>
          <w:sz w:val="22"/>
          <w:szCs w:val="22"/>
        </w:rPr>
      </w:pPr>
      <w:r w:rsidRPr="0078081F">
        <w:rPr>
          <w:rFonts w:asciiTheme="minorHAnsi" w:hAnsiTheme="minorHAnsi"/>
          <w:sz w:val="22"/>
          <w:szCs w:val="22"/>
        </w:rPr>
        <w:t>Background:</w:t>
      </w:r>
    </w:p>
    <w:p w14:paraId="06C080B9" w14:textId="77777777" w:rsidR="0078081F" w:rsidRPr="0078081F" w:rsidRDefault="0078081F" w:rsidP="0078081F">
      <w:pPr>
        <w:rPr>
          <w:rFonts w:asciiTheme="minorHAnsi" w:hAnsiTheme="minorHAnsi"/>
          <w:sz w:val="22"/>
          <w:szCs w:val="22"/>
          <w:lang w:val="en-GB"/>
        </w:rPr>
      </w:pPr>
      <w:r w:rsidRPr="0078081F">
        <w:rPr>
          <w:rFonts w:asciiTheme="minorHAnsi" w:hAnsiTheme="minorHAnsi"/>
          <w:sz w:val="22"/>
          <w:szCs w:val="22"/>
          <w:lang w:val="en-GB"/>
        </w:rPr>
        <w:t>This document has been produced to help with the communication of the Rules of Shooting changes that were approved and are effective from the 1st April 2017.</w:t>
      </w:r>
    </w:p>
    <w:p w14:paraId="2216FC6B" w14:textId="77777777" w:rsidR="0078081F" w:rsidRPr="0078081F" w:rsidRDefault="0078081F" w:rsidP="0078081F">
      <w:pPr>
        <w:rPr>
          <w:rFonts w:asciiTheme="minorHAnsi" w:hAnsiTheme="minorHAnsi"/>
          <w:sz w:val="22"/>
          <w:szCs w:val="22"/>
          <w:lang w:val="en-GB"/>
        </w:rPr>
      </w:pPr>
    </w:p>
    <w:p w14:paraId="66DE6C16" w14:textId="77777777" w:rsidR="0078081F" w:rsidRPr="0078081F" w:rsidRDefault="0078081F" w:rsidP="0078081F">
      <w:pPr>
        <w:rPr>
          <w:rFonts w:asciiTheme="minorHAnsi" w:hAnsiTheme="minorHAnsi"/>
          <w:sz w:val="22"/>
          <w:szCs w:val="22"/>
          <w:lang w:val="en-GB"/>
        </w:rPr>
      </w:pPr>
      <w:r w:rsidRPr="0078081F">
        <w:rPr>
          <w:rFonts w:asciiTheme="minorHAnsi" w:hAnsiTheme="minorHAnsi"/>
          <w:sz w:val="22"/>
          <w:szCs w:val="22"/>
          <w:lang w:val="en-GB"/>
        </w:rPr>
        <w:t>The document will show the revised wording in full for each change. To see what the difference is, the reader will need to refer to the previous version of the Rule Book.</w:t>
      </w:r>
    </w:p>
    <w:p w14:paraId="7DE57250" w14:textId="77777777" w:rsidR="0078081F" w:rsidRDefault="0078081F" w:rsidP="0078081F">
      <w:pPr>
        <w:rPr>
          <w:lang w:val="en-GB"/>
        </w:rPr>
      </w:pPr>
    </w:p>
    <w:p w14:paraId="665F5D99" w14:textId="77777777" w:rsidR="008927EC" w:rsidRPr="0078081F" w:rsidRDefault="0078081F" w:rsidP="008927EC">
      <w:pPr>
        <w:tabs>
          <w:tab w:val="left" w:pos="4140"/>
        </w:tabs>
        <w:rPr>
          <w:rFonts w:ascii="Calibri" w:hAnsi="Calibri" w:cs="Calibri"/>
          <w:bCs/>
          <w:iCs/>
          <w:snapToGrid w:val="0"/>
          <w:color w:val="000000"/>
          <w:sz w:val="22"/>
          <w:szCs w:val="22"/>
        </w:rPr>
      </w:pPr>
      <w:r w:rsidRPr="0078081F">
        <w:rPr>
          <w:rFonts w:ascii="Calibri" w:hAnsi="Calibri" w:cs="Calibri"/>
          <w:bCs/>
          <w:iCs/>
          <w:snapToGrid w:val="0"/>
          <w:color w:val="000000"/>
          <w:sz w:val="22"/>
          <w:szCs w:val="22"/>
        </w:rPr>
        <w:t>Graham Potts - Chairman, Rules Committee, Archery GB</w:t>
      </w:r>
    </w:p>
    <w:p w14:paraId="73969E34" w14:textId="77777777" w:rsidR="008927EC" w:rsidRPr="00DA1CCB" w:rsidRDefault="008927EC" w:rsidP="008927EC">
      <w:pPr>
        <w:tabs>
          <w:tab w:val="left" w:pos="4140"/>
        </w:tabs>
        <w:rPr>
          <w:rFonts w:ascii="Calibri" w:hAnsi="Calibri" w:cs="Calibri"/>
          <w:bCs/>
          <w:iCs/>
          <w:snapToGrid w:val="0"/>
          <w:color w:val="000000"/>
          <w:sz w:val="16"/>
        </w:rPr>
      </w:pPr>
    </w:p>
    <w:p w14:paraId="7440391B" w14:textId="77777777" w:rsidR="008927EC" w:rsidRPr="00DA1CCB" w:rsidRDefault="008927EC" w:rsidP="008927EC">
      <w:pPr>
        <w:tabs>
          <w:tab w:val="left" w:pos="4140"/>
        </w:tabs>
        <w:rPr>
          <w:rFonts w:ascii="Calibri" w:hAnsi="Calibri" w:cs="Calibri"/>
          <w:bCs/>
          <w:iCs/>
          <w:snapToGrid w:val="0"/>
          <w:color w:val="000000"/>
          <w:sz w:val="16"/>
        </w:rPr>
      </w:pPr>
    </w:p>
    <w:p w14:paraId="5EDBC9B3" w14:textId="77777777" w:rsidR="008927EC" w:rsidRPr="00DA1CCB" w:rsidRDefault="008927EC" w:rsidP="008927EC">
      <w:pPr>
        <w:tabs>
          <w:tab w:val="left" w:pos="4140"/>
        </w:tabs>
        <w:rPr>
          <w:rFonts w:ascii="Calibri" w:hAnsi="Calibri" w:cs="Calibri"/>
          <w:bCs/>
          <w:iCs/>
          <w:snapToGrid w:val="0"/>
          <w:color w:val="000000"/>
          <w:sz w:val="16"/>
        </w:rPr>
      </w:pPr>
    </w:p>
    <w:p w14:paraId="30D5D2D6" w14:textId="77777777" w:rsidR="008927EC" w:rsidRPr="00DA1CCB" w:rsidRDefault="008927EC" w:rsidP="008927EC">
      <w:pPr>
        <w:tabs>
          <w:tab w:val="left" w:pos="4140"/>
        </w:tabs>
        <w:rPr>
          <w:rFonts w:ascii="Calibri" w:hAnsi="Calibri" w:cs="Calibri"/>
          <w:bCs/>
          <w:iCs/>
          <w:snapToGrid w:val="0"/>
          <w:color w:val="000000"/>
          <w:sz w:val="16"/>
        </w:rPr>
      </w:pPr>
    </w:p>
    <w:p w14:paraId="16062A6B" w14:textId="77777777" w:rsidR="008927EC" w:rsidRPr="00DA1CCB" w:rsidRDefault="008927EC" w:rsidP="008927EC">
      <w:pPr>
        <w:tabs>
          <w:tab w:val="left" w:pos="4140"/>
        </w:tabs>
        <w:rPr>
          <w:rFonts w:ascii="Calibri" w:hAnsi="Calibri" w:cs="Calibri"/>
          <w:bCs/>
          <w:iCs/>
          <w:snapToGrid w:val="0"/>
          <w:color w:val="000000"/>
          <w:sz w:val="16"/>
        </w:rPr>
      </w:pPr>
    </w:p>
    <w:tbl>
      <w:tblPr>
        <w:tblW w:w="0" w:type="auto"/>
        <w:tblLook w:val="00A0" w:firstRow="1" w:lastRow="0" w:firstColumn="1" w:lastColumn="0" w:noHBand="0" w:noVBand="0"/>
      </w:tblPr>
      <w:tblGrid>
        <w:gridCol w:w="6811"/>
      </w:tblGrid>
      <w:tr w:rsidR="00C20E06" w:rsidRPr="00DA1CCB" w14:paraId="0A5BE817" w14:textId="77777777" w:rsidTr="00F8613F">
        <w:tc>
          <w:tcPr>
            <w:tcW w:w="6811" w:type="dxa"/>
            <w:vAlign w:val="center"/>
          </w:tcPr>
          <w:p w14:paraId="05961A13" w14:textId="77777777" w:rsidR="00C20E06" w:rsidRDefault="00C20E06" w:rsidP="0078081F">
            <w:pPr>
              <w:rPr>
                <w:rFonts w:ascii="Calibri" w:hAnsi="Calibri" w:cs="Calibri"/>
                <w:bCs/>
                <w:iCs/>
                <w:snapToGrid w:val="0"/>
                <w:color w:val="000000"/>
                <w:sz w:val="16"/>
              </w:rPr>
            </w:pPr>
            <w:r>
              <w:rPr>
                <w:rFonts w:ascii="Calibri" w:hAnsi="Calibri" w:cs="Calibri"/>
                <w:bCs/>
                <w:iCs/>
                <w:snapToGrid w:val="0"/>
                <w:color w:val="000000"/>
                <w:sz w:val="16"/>
              </w:rPr>
              <w:tab/>
            </w:r>
          </w:p>
          <w:p w14:paraId="6A72FE27" w14:textId="77777777" w:rsidR="00C20E06" w:rsidRDefault="00C20E06" w:rsidP="005D7D4E">
            <w:pPr>
              <w:pStyle w:val="Default"/>
              <w:jc w:val="center"/>
              <w:rPr>
                <w:rFonts w:cs="Calibri"/>
                <w:sz w:val="16"/>
                <w:szCs w:val="16"/>
              </w:rPr>
            </w:pPr>
          </w:p>
          <w:p w14:paraId="588D014C" w14:textId="77777777" w:rsidR="00C20E06" w:rsidRDefault="00C20E06" w:rsidP="005D7D4E">
            <w:pPr>
              <w:pStyle w:val="Default"/>
              <w:jc w:val="center"/>
              <w:rPr>
                <w:rFonts w:cs="Calibri"/>
                <w:sz w:val="16"/>
                <w:szCs w:val="16"/>
              </w:rPr>
            </w:pPr>
          </w:p>
          <w:p w14:paraId="3477A65D" w14:textId="77777777" w:rsidR="00C20E06" w:rsidRDefault="00C20E06" w:rsidP="005D7D4E">
            <w:pPr>
              <w:pStyle w:val="Default"/>
              <w:jc w:val="center"/>
              <w:rPr>
                <w:rFonts w:cs="Calibri"/>
                <w:sz w:val="16"/>
                <w:szCs w:val="16"/>
              </w:rPr>
            </w:pPr>
          </w:p>
          <w:p w14:paraId="6D360AE2" w14:textId="77777777" w:rsidR="00C20E06" w:rsidRPr="00DA1CCB" w:rsidRDefault="00C20E06" w:rsidP="005D7D4E">
            <w:pPr>
              <w:pStyle w:val="Default"/>
              <w:jc w:val="center"/>
              <w:rPr>
                <w:rFonts w:cs="Calibri"/>
                <w:sz w:val="16"/>
                <w:szCs w:val="16"/>
              </w:rPr>
            </w:pPr>
            <w:r w:rsidRPr="00DA1CCB">
              <w:rPr>
                <w:rFonts w:cs="Calibri"/>
                <w:sz w:val="16"/>
                <w:szCs w:val="16"/>
              </w:rPr>
              <w:t xml:space="preserve">Archery GB is the trading name of the Grand National Archery Society, </w:t>
            </w:r>
          </w:p>
          <w:p w14:paraId="4D4C7CC8" w14:textId="77777777" w:rsidR="00C20E06" w:rsidRPr="00DA1CCB" w:rsidRDefault="00C20E06" w:rsidP="005D7D4E">
            <w:pPr>
              <w:pStyle w:val="Default"/>
              <w:jc w:val="center"/>
              <w:rPr>
                <w:sz w:val="16"/>
                <w:szCs w:val="16"/>
              </w:rPr>
            </w:pPr>
            <w:r w:rsidRPr="00DA1CCB">
              <w:rPr>
                <w:rFonts w:cs="Calibri"/>
                <w:sz w:val="16"/>
                <w:szCs w:val="16"/>
              </w:rPr>
              <w:t>a company limited by guarantee no. 1342150 Registered in England.</w:t>
            </w:r>
          </w:p>
        </w:tc>
      </w:tr>
    </w:tbl>
    <w:p w14:paraId="02E36F42" w14:textId="77777777" w:rsidR="00D21BFA" w:rsidRDefault="001F6077" w:rsidP="00641CB3">
      <w:pPr>
        <w:ind w:left="360" w:hanging="360"/>
        <w:jc w:val="both"/>
        <w:rPr>
          <w:rFonts w:ascii="Calibri" w:hAnsi="Calibri" w:cs="Calibri"/>
          <w:snapToGrid w:val="0"/>
          <w:color w:val="000000"/>
          <w:sz w:val="16"/>
        </w:rPr>
      </w:pPr>
      <w:r>
        <w:rPr>
          <w:rFonts w:ascii="Calibri" w:hAnsi="Calibri" w:cs="Calibri"/>
          <w:snapToGrid w:val="0"/>
          <w:color w:val="000000"/>
          <w:sz w:val="16"/>
        </w:rPr>
        <w:lastRenderedPageBreak/>
        <w:t>The Rules for Range Safety have been amended to incorporate:</w:t>
      </w:r>
    </w:p>
    <w:p w14:paraId="6A2FF397" w14:textId="77777777" w:rsidR="001F6077" w:rsidRDefault="001F6077" w:rsidP="00641CB3">
      <w:pPr>
        <w:ind w:left="360" w:hanging="360"/>
        <w:jc w:val="both"/>
        <w:rPr>
          <w:rFonts w:ascii="Calibri" w:hAnsi="Calibri" w:cs="Calibri"/>
          <w:snapToGrid w:val="0"/>
          <w:color w:val="000000"/>
          <w:sz w:val="16"/>
        </w:rPr>
      </w:pPr>
      <w:r>
        <w:rPr>
          <w:rFonts w:ascii="Calibri" w:hAnsi="Calibri" w:cs="Calibri"/>
          <w:snapToGrid w:val="0"/>
          <w:color w:val="000000"/>
          <w:sz w:val="16"/>
        </w:rPr>
        <w:t>1) The requirement to register all ranges</w:t>
      </w:r>
    </w:p>
    <w:p w14:paraId="4CA0E609" w14:textId="77777777" w:rsidR="001F6077" w:rsidRDefault="001F6077" w:rsidP="00641CB3">
      <w:pPr>
        <w:ind w:left="360" w:hanging="360"/>
        <w:jc w:val="both"/>
        <w:rPr>
          <w:rFonts w:ascii="Calibri" w:hAnsi="Calibri" w:cs="Calibri"/>
          <w:snapToGrid w:val="0"/>
          <w:color w:val="000000"/>
          <w:sz w:val="16"/>
        </w:rPr>
      </w:pPr>
      <w:r>
        <w:rPr>
          <w:rFonts w:ascii="Calibri" w:hAnsi="Calibri" w:cs="Calibri"/>
          <w:snapToGrid w:val="0"/>
          <w:color w:val="000000"/>
          <w:sz w:val="16"/>
        </w:rPr>
        <w:t>2) Requirements for two independent ranges shooting alongside one another</w:t>
      </w:r>
    </w:p>
    <w:p w14:paraId="53A5D39D" w14:textId="77777777" w:rsidR="001F6077" w:rsidRDefault="001F6077" w:rsidP="00641CB3">
      <w:pPr>
        <w:ind w:left="360" w:hanging="360"/>
        <w:jc w:val="both"/>
        <w:rPr>
          <w:rFonts w:ascii="Calibri" w:hAnsi="Calibri" w:cs="Calibri"/>
          <w:snapToGrid w:val="0"/>
          <w:color w:val="000000"/>
          <w:sz w:val="16"/>
        </w:rPr>
      </w:pPr>
      <w:r>
        <w:rPr>
          <w:rFonts w:ascii="Calibri" w:hAnsi="Calibri" w:cs="Calibri"/>
          <w:snapToGrid w:val="0"/>
          <w:color w:val="000000"/>
          <w:sz w:val="16"/>
        </w:rPr>
        <w:t>3) Range assessments</w:t>
      </w:r>
    </w:p>
    <w:p w14:paraId="1BB420E7" w14:textId="77777777" w:rsidR="001F6077" w:rsidRDefault="001F6077" w:rsidP="00641CB3">
      <w:pPr>
        <w:ind w:left="360" w:hanging="360"/>
        <w:jc w:val="both"/>
        <w:rPr>
          <w:rFonts w:ascii="Calibri" w:hAnsi="Calibri" w:cs="Calibri"/>
          <w:snapToGrid w:val="0"/>
          <w:color w:val="000000"/>
          <w:sz w:val="16"/>
        </w:rPr>
      </w:pPr>
    </w:p>
    <w:p w14:paraId="685F02DA" w14:textId="77777777" w:rsidR="001F6077" w:rsidRPr="001F6077" w:rsidRDefault="001F6077" w:rsidP="00641CB3">
      <w:pPr>
        <w:ind w:left="360" w:hanging="360"/>
        <w:jc w:val="both"/>
        <w:rPr>
          <w:rFonts w:ascii="Calibri" w:hAnsi="Calibri" w:cs="Calibri"/>
          <w:b/>
          <w:snapToGrid w:val="0"/>
          <w:color w:val="000000"/>
          <w:sz w:val="16"/>
        </w:rPr>
      </w:pPr>
      <w:r w:rsidRPr="001F6077">
        <w:rPr>
          <w:rFonts w:ascii="Calibri" w:hAnsi="Calibri" w:cs="Calibri"/>
          <w:b/>
          <w:snapToGrid w:val="0"/>
          <w:color w:val="000000"/>
          <w:sz w:val="16"/>
        </w:rPr>
        <w:t>Rule 302 has been revised as follows:</w:t>
      </w:r>
    </w:p>
    <w:p w14:paraId="1FFD433C" w14:textId="77777777" w:rsidR="00540BD6" w:rsidRPr="001F6077" w:rsidRDefault="006E29F3" w:rsidP="00540BD6">
      <w:pPr>
        <w:ind w:left="360" w:hanging="360"/>
        <w:jc w:val="both"/>
        <w:rPr>
          <w:rFonts w:ascii="Calibri" w:hAnsi="Calibri" w:cs="Arial"/>
          <w:bCs/>
          <w:iCs/>
          <w:snapToGrid w:val="0"/>
          <w:sz w:val="16"/>
          <w:lang w:val="en-GB"/>
        </w:rPr>
      </w:pPr>
      <w:r w:rsidRPr="001F6077">
        <w:rPr>
          <w:rFonts w:ascii="Calibri" w:hAnsi="Calibri" w:cs="Arial"/>
          <w:b/>
          <w:bCs/>
          <w:iCs/>
          <w:snapToGrid w:val="0"/>
          <w:sz w:val="16"/>
          <w:lang w:val="en-GB"/>
        </w:rPr>
        <w:t>302</w:t>
      </w:r>
      <w:r w:rsidR="005846ED" w:rsidRPr="001F6077">
        <w:rPr>
          <w:rFonts w:ascii="Calibri" w:hAnsi="Calibri" w:cs="Arial"/>
          <w:b/>
          <w:bCs/>
          <w:iCs/>
          <w:snapToGrid w:val="0"/>
          <w:sz w:val="16"/>
          <w:lang w:val="en-GB"/>
        </w:rPr>
        <w:t>.</w:t>
      </w:r>
      <w:r w:rsidRPr="001F6077">
        <w:rPr>
          <w:rFonts w:ascii="Calibri" w:hAnsi="Calibri" w:cs="Arial"/>
          <w:b/>
          <w:bCs/>
          <w:iCs/>
          <w:snapToGrid w:val="0"/>
          <w:sz w:val="16"/>
          <w:lang w:val="en-GB"/>
        </w:rPr>
        <w:tab/>
        <w:t>Range Safety</w:t>
      </w:r>
      <w:r w:rsidR="005D0AF5" w:rsidRPr="001F6077">
        <w:rPr>
          <w:rFonts w:ascii="Calibri" w:hAnsi="Calibri" w:cs="Arial"/>
          <w:bCs/>
          <w:iCs/>
          <w:snapToGrid w:val="0"/>
          <w:sz w:val="16"/>
          <w:lang w:val="en-GB"/>
        </w:rPr>
        <w:t xml:space="preserve"> - </w:t>
      </w:r>
      <w:r w:rsidRPr="001F6077">
        <w:rPr>
          <w:rFonts w:ascii="Calibri" w:hAnsi="Calibri" w:cs="Arial"/>
          <w:bCs/>
          <w:iCs/>
          <w:snapToGrid w:val="0"/>
          <w:sz w:val="16"/>
          <w:lang w:val="en-GB"/>
        </w:rPr>
        <w:t>Refer to the diagram</w:t>
      </w:r>
      <w:r w:rsidR="00540BD6" w:rsidRPr="001F6077">
        <w:rPr>
          <w:rFonts w:ascii="Calibri" w:hAnsi="Calibri" w:cs="Arial"/>
          <w:bCs/>
          <w:iCs/>
          <w:snapToGrid w:val="0"/>
          <w:sz w:val="16"/>
          <w:lang w:val="en-GB"/>
        </w:rPr>
        <w:t>s</w:t>
      </w:r>
      <w:r w:rsidR="005D0AF5" w:rsidRPr="001F6077">
        <w:rPr>
          <w:rFonts w:ascii="Calibri" w:hAnsi="Calibri" w:cs="Arial"/>
          <w:bCs/>
          <w:iCs/>
          <w:snapToGrid w:val="0"/>
          <w:sz w:val="16"/>
          <w:lang w:val="en-GB"/>
        </w:rPr>
        <w:t xml:space="preserve"> at Appendix C and D.</w:t>
      </w:r>
    </w:p>
    <w:p w14:paraId="520906B3" w14:textId="77777777" w:rsidR="00540BD6" w:rsidRPr="001F6077" w:rsidRDefault="006E29F3" w:rsidP="00540BD6">
      <w:pPr>
        <w:ind w:left="360" w:hanging="360"/>
        <w:jc w:val="both"/>
        <w:rPr>
          <w:rFonts w:ascii="Calibri" w:hAnsi="Calibri" w:cs="Arial"/>
          <w:bCs/>
          <w:iCs/>
          <w:snapToGrid w:val="0"/>
          <w:sz w:val="16"/>
          <w:lang w:val="en-GB"/>
        </w:rPr>
      </w:pPr>
      <w:r w:rsidRPr="001F6077">
        <w:rPr>
          <w:rFonts w:ascii="Calibri" w:hAnsi="Calibri" w:cs="Arial"/>
          <w:bCs/>
          <w:iCs/>
          <w:snapToGrid w:val="0"/>
          <w:sz w:val="16"/>
          <w:lang w:val="en-GB"/>
        </w:rPr>
        <w:t>(a)</w:t>
      </w:r>
      <w:r w:rsidRPr="001F6077">
        <w:rPr>
          <w:rFonts w:ascii="Calibri" w:hAnsi="Calibri" w:cs="Arial"/>
          <w:bCs/>
          <w:iCs/>
          <w:snapToGrid w:val="0"/>
          <w:sz w:val="16"/>
          <w:lang w:val="en-GB"/>
        </w:rPr>
        <w:tab/>
      </w:r>
      <w:r w:rsidR="00540BD6" w:rsidRPr="001F6077">
        <w:rPr>
          <w:rFonts w:ascii="Calibri" w:hAnsi="Calibri" w:cs="Arial"/>
          <w:bCs/>
          <w:iCs/>
          <w:snapToGrid w:val="0"/>
          <w:sz w:val="16"/>
          <w:lang w:val="en-GB"/>
        </w:rPr>
        <w:t>All ranges must be registered in accordance with the process as directed by Archery GB</w:t>
      </w:r>
    </w:p>
    <w:p w14:paraId="3F52D9D1" w14:textId="77777777" w:rsidR="006E29F3" w:rsidRPr="001F6077" w:rsidRDefault="00540BD6" w:rsidP="00540BD6">
      <w:pPr>
        <w:ind w:left="360" w:hanging="360"/>
        <w:jc w:val="both"/>
        <w:rPr>
          <w:rFonts w:ascii="Calibri" w:hAnsi="Calibri" w:cs="Arial"/>
          <w:bCs/>
          <w:iCs/>
          <w:snapToGrid w:val="0"/>
          <w:sz w:val="16"/>
          <w:lang w:val="en-GB"/>
        </w:rPr>
      </w:pPr>
      <w:r w:rsidRPr="001F6077">
        <w:rPr>
          <w:rFonts w:ascii="Calibri" w:hAnsi="Calibri" w:cs="Arial"/>
          <w:bCs/>
          <w:iCs/>
          <w:snapToGrid w:val="0"/>
          <w:sz w:val="16"/>
          <w:lang w:val="en-GB"/>
        </w:rPr>
        <w:t>(b)</w:t>
      </w:r>
      <w:r w:rsidRPr="001F6077">
        <w:rPr>
          <w:rFonts w:ascii="Calibri" w:hAnsi="Calibri" w:cs="Arial"/>
          <w:bCs/>
          <w:iCs/>
          <w:snapToGrid w:val="0"/>
          <w:sz w:val="16"/>
          <w:lang w:val="en-GB"/>
        </w:rPr>
        <w:tab/>
      </w:r>
      <w:r w:rsidR="006E29F3" w:rsidRPr="001F6077">
        <w:rPr>
          <w:rFonts w:ascii="Calibri" w:hAnsi="Calibri" w:cs="Arial"/>
          <w:bCs/>
          <w:iCs/>
          <w:snapToGrid w:val="0"/>
          <w:sz w:val="16"/>
          <w:lang w:val="en-GB"/>
        </w:rPr>
        <w:t>Overshoot Distances.</w:t>
      </w:r>
    </w:p>
    <w:p w14:paraId="687B0A21" w14:textId="77777777" w:rsidR="006E29F3" w:rsidRPr="001F6077" w:rsidRDefault="006E29F3" w:rsidP="00641CB3">
      <w:pPr>
        <w:pStyle w:val="BodyTextIndent2"/>
        <w:widowControl/>
        <w:ind w:hanging="360"/>
        <w:jc w:val="both"/>
        <w:rPr>
          <w:rFonts w:ascii="Calibri" w:hAnsi="Calibri" w:cs="Arial"/>
          <w:bCs/>
          <w:iCs/>
          <w:sz w:val="16"/>
          <w:lang w:val="en-GB"/>
        </w:rPr>
      </w:pPr>
      <w:r w:rsidRPr="001F6077">
        <w:rPr>
          <w:rFonts w:ascii="Calibri" w:hAnsi="Calibri" w:cs="Arial"/>
          <w:bCs/>
          <w:iCs/>
          <w:sz w:val="16"/>
          <w:lang w:val="en-GB"/>
        </w:rPr>
        <w:t>(i)</w:t>
      </w:r>
      <w:r w:rsidRPr="001F6077">
        <w:rPr>
          <w:rFonts w:ascii="Calibri" w:hAnsi="Calibri" w:cs="Arial"/>
          <w:bCs/>
          <w:iCs/>
          <w:sz w:val="16"/>
          <w:lang w:val="en-GB"/>
        </w:rPr>
        <w:tab/>
        <w:t>Overshoot Line.  The overshoot line is a line parallel to the shooting line positioned at the required distance behind the targets and extending to the width of the side safety areas.</w:t>
      </w:r>
    </w:p>
    <w:p w14:paraId="534080B5" w14:textId="77777777" w:rsidR="006E29F3" w:rsidRPr="001F6077" w:rsidRDefault="006E29F3" w:rsidP="00641CB3">
      <w:pPr>
        <w:pStyle w:val="BodyTextIndent2"/>
        <w:widowControl/>
        <w:ind w:hanging="360"/>
        <w:jc w:val="both"/>
        <w:rPr>
          <w:rFonts w:ascii="Calibri" w:hAnsi="Calibri" w:cs="Arial"/>
          <w:bCs/>
          <w:iCs/>
          <w:sz w:val="16"/>
          <w:lang w:val="en-GB"/>
        </w:rPr>
      </w:pPr>
      <w:r w:rsidRPr="001F6077">
        <w:rPr>
          <w:rFonts w:ascii="Calibri" w:hAnsi="Calibri" w:cs="Arial"/>
          <w:bCs/>
          <w:iCs/>
          <w:sz w:val="16"/>
          <w:lang w:val="en-GB"/>
        </w:rPr>
        <w:t>(ii)</w:t>
      </w:r>
      <w:r w:rsidRPr="001F6077">
        <w:rPr>
          <w:rFonts w:ascii="Calibri" w:hAnsi="Calibri" w:cs="Arial"/>
          <w:bCs/>
          <w:iCs/>
          <w:sz w:val="16"/>
          <w:lang w:val="en-GB"/>
        </w:rPr>
        <w:tab/>
        <w:t>Bows shot off the fingers.</w:t>
      </w:r>
    </w:p>
    <w:p w14:paraId="6C968F18" w14:textId="77777777" w:rsidR="006E29F3" w:rsidRPr="001F6077" w:rsidRDefault="006E29F3" w:rsidP="00641CB3">
      <w:pPr>
        <w:ind w:left="1080" w:hanging="360"/>
        <w:jc w:val="both"/>
        <w:rPr>
          <w:rFonts w:ascii="Calibri" w:hAnsi="Calibri" w:cs="Arial"/>
          <w:bCs/>
          <w:iCs/>
          <w:snapToGrid w:val="0"/>
          <w:sz w:val="16"/>
          <w:lang w:val="en-GB"/>
        </w:rPr>
      </w:pPr>
      <w:r w:rsidRPr="001F6077">
        <w:rPr>
          <w:rFonts w:ascii="Calibri" w:hAnsi="Calibri" w:cs="Arial"/>
          <w:bCs/>
          <w:iCs/>
          <w:snapToGrid w:val="0"/>
          <w:sz w:val="16"/>
          <w:lang w:val="en-GB"/>
        </w:rPr>
        <w:t>a.</w:t>
      </w:r>
      <w:r w:rsidRPr="001F6077">
        <w:rPr>
          <w:rFonts w:ascii="Calibri" w:hAnsi="Calibri" w:cs="Arial"/>
          <w:bCs/>
          <w:iCs/>
          <w:snapToGrid w:val="0"/>
          <w:sz w:val="16"/>
          <w:lang w:val="en-GB"/>
        </w:rPr>
        <w:tab/>
        <w:t>At target distances up to 60 yards/metres the overshoot line shall be at least 110yds from the shooting line.</w:t>
      </w:r>
    </w:p>
    <w:p w14:paraId="66FC88C6" w14:textId="77777777" w:rsidR="006E29F3" w:rsidRPr="001F6077" w:rsidRDefault="006E29F3" w:rsidP="00641CB3">
      <w:pPr>
        <w:ind w:left="1080" w:hanging="360"/>
        <w:jc w:val="both"/>
        <w:rPr>
          <w:rFonts w:ascii="Calibri" w:hAnsi="Calibri" w:cs="Arial"/>
          <w:bCs/>
          <w:iCs/>
          <w:snapToGrid w:val="0"/>
          <w:sz w:val="16"/>
          <w:lang w:val="en-GB"/>
        </w:rPr>
      </w:pPr>
      <w:r w:rsidRPr="001F6077">
        <w:rPr>
          <w:rFonts w:ascii="Calibri" w:hAnsi="Calibri" w:cs="Arial"/>
          <w:bCs/>
          <w:iCs/>
          <w:snapToGrid w:val="0"/>
          <w:sz w:val="16"/>
          <w:lang w:val="en-GB"/>
        </w:rPr>
        <w:t>b.</w:t>
      </w:r>
      <w:r w:rsidRPr="001F6077">
        <w:rPr>
          <w:rFonts w:ascii="Calibri" w:hAnsi="Calibri" w:cs="Arial"/>
          <w:bCs/>
          <w:iCs/>
          <w:snapToGrid w:val="0"/>
          <w:sz w:val="16"/>
          <w:lang w:val="en-GB"/>
        </w:rPr>
        <w:tab/>
        <w:t>At target distances over 60 yards/metres the overshoot line shall be at least 50 yards from the target line.</w:t>
      </w:r>
    </w:p>
    <w:p w14:paraId="0117F3EB" w14:textId="77777777" w:rsidR="006E29F3" w:rsidRPr="001F6077" w:rsidRDefault="006E29F3" w:rsidP="00641CB3">
      <w:pPr>
        <w:pStyle w:val="BodyTextIndent2"/>
        <w:widowControl/>
        <w:ind w:hanging="360"/>
        <w:jc w:val="both"/>
        <w:rPr>
          <w:rFonts w:ascii="Calibri" w:hAnsi="Calibri" w:cs="Arial"/>
          <w:bCs/>
          <w:iCs/>
          <w:sz w:val="16"/>
          <w:lang w:val="en-GB"/>
        </w:rPr>
      </w:pPr>
      <w:r w:rsidRPr="001F6077">
        <w:rPr>
          <w:rFonts w:ascii="Calibri" w:hAnsi="Calibri" w:cs="Arial"/>
          <w:bCs/>
          <w:iCs/>
          <w:sz w:val="16"/>
          <w:lang w:val="en-GB"/>
        </w:rPr>
        <w:t>(iii)</w:t>
      </w:r>
      <w:r w:rsidRPr="001F6077">
        <w:rPr>
          <w:rFonts w:ascii="Calibri" w:hAnsi="Calibri" w:cs="Arial"/>
          <w:bCs/>
          <w:iCs/>
          <w:sz w:val="16"/>
          <w:lang w:val="en-GB"/>
        </w:rPr>
        <w:tab/>
        <w:t xml:space="preserve">Bows shot with Mechanical Release Aids.  At all target distances the overshoot line shall be at least 150 yards from the shooting line. </w:t>
      </w:r>
    </w:p>
    <w:p w14:paraId="0EF525A3" w14:textId="77777777" w:rsidR="006E29F3" w:rsidRPr="001F6077" w:rsidRDefault="006E29F3" w:rsidP="00641CB3">
      <w:pPr>
        <w:ind w:left="360" w:hanging="360"/>
        <w:jc w:val="both"/>
        <w:rPr>
          <w:rFonts w:ascii="Calibri" w:hAnsi="Calibri" w:cs="Arial"/>
          <w:bCs/>
          <w:iCs/>
          <w:snapToGrid w:val="0"/>
          <w:sz w:val="16"/>
          <w:lang w:val="en-GB"/>
        </w:rPr>
      </w:pPr>
      <w:r w:rsidRPr="001F6077">
        <w:rPr>
          <w:rFonts w:ascii="Calibri" w:hAnsi="Calibri" w:cs="Arial"/>
          <w:bCs/>
          <w:iCs/>
          <w:snapToGrid w:val="0"/>
          <w:sz w:val="16"/>
          <w:lang w:val="en-GB"/>
        </w:rPr>
        <w:t>(</w:t>
      </w:r>
      <w:r w:rsidR="00540BD6" w:rsidRPr="001F6077">
        <w:rPr>
          <w:rFonts w:ascii="Calibri" w:hAnsi="Calibri" w:cs="Arial"/>
          <w:bCs/>
          <w:iCs/>
          <w:snapToGrid w:val="0"/>
          <w:sz w:val="16"/>
          <w:lang w:val="en-GB"/>
        </w:rPr>
        <w:t>c</w:t>
      </w:r>
      <w:r w:rsidRPr="001F6077">
        <w:rPr>
          <w:rFonts w:ascii="Calibri" w:hAnsi="Calibri" w:cs="Arial"/>
          <w:bCs/>
          <w:iCs/>
          <w:snapToGrid w:val="0"/>
          <w:sz w:val="16"/>
          <w:lang w:val="en-GB"/>
        </w:rPr>
        <w:t>)</w:t>
      </w:r>
      <w:r w:rsidRPr="001F6077">
        <w:rPr>
          <w:rFonts w:ascii="Calibri" w:hAnsi="Calibri" w:cs="Arial"/>
          <w:bCs/>
          <w:iCs/>
          <w:snapToGrid w:val="0"/>
          <w:sz w:val="16"/>
          <w:lang w:val="en-GB"/>
        </w:rPr>
        <w:tab/>
        <w:t>Side Safety Areas.  Each side safety area is the area in front of the shooting line and to the side of the range (including the overshoot area) enclosed by a line from a point 10yds to the side of the shooting line, to a point 20yds to the side of the range at 100yds from the shooting line, and continuing on that straight line to the overshoot line.</w:t>
      </w:r>
    </w:p>
    <w:p w14:paraId="6DB19895" w14:textId="77777777" w:rsidR="006E29F3" w:rsidRPr="001F6077" w:rsidRDefault="006E29F3" w:rsidP="00641CB3">
      <w:pPr>
        <w:ind w:left="1170" w:hanging="450"/>
        <w:jc w:val="both"/>
        <w:rPr>
          <w:rFonts w:ascii="Calibri" w:hAnsi="Calibri" w:cs="Arial"/>
          <w:bCs/>
          <w:iCs/>
          <w:snapToGrid w:val="0"/>
          <w:sz w:val="16"/>
          <w:lang w:val="en-GB"/>
        </w:rPr>
      </w:pPr>
      <w:r w:rsidRPr="001F6077">
        <w:rPr>
          <w:rFonts w:ascii="Calibri" w:hAnsi="Calibri" w:cs="Arial"/>
          <w:bCs/>
          <w:iCs/>
          <w:snapToGrid w:val="0"/>
          <w:sz w:val="16"/>
          <w:lang w:val="en-GB"/>
        </w:rPr>
        <w:t>Note:</w:t>
      </w:r>
      <w:r w:rsidRPr="001F6077">
        <w:rPr>
          <w:rFonts w:ascii="Calibri" w:hAnsi="Calibri" w:cs="Arial"/>
          <w:bCs/>
          <w:iCs/>
          <w:snapToGrid w:val="0"/>
          <w:sz w:val="16"/>
          <w:lang w:val="en-GB"/>
        </w:rPr>
        <w:tab/>
        <w:t xml:space="preserve">If the overshoot line is 150yds from the shooting line, the side safety area at that distance will extend 25yds to the side of the range. </w:t>
      </w:r>
    </w:p>
    <w:p w14:paraId="51378493" w14:textId="77777777" w:rsidR="006E29F3" w:rsidRPr="001F6077" w:rsidRDefault="006E29F3" w:rsidP="00641CB3">
      <w:pPr>
        <w:ind w:left="360" w:hanging="360"/>
        <w:jc w:val="both"/>
        <w:rPr>
          <w:rFonts w:ascii="Calibri" w:hAnsi="Calibri" w:cs="Arial"/>
          <w:bCs/>
          <w:iCs/>
          <w:snapToGrid w:val="0"/>
          <w:sz w:val="16"/>
          <w:lang w:val="en-GB"/>
        </w:rPr>
      </w:pPr>
      <w:r w:rsidRPr="001F6077">
        <w:rPr>
          <w:rFonts w:ascii="Calibri" w:hAnsi="Calibri" w:cs="Arial"/>
          <w:bCs/>
          <w:iCs/>
          <w:snapToGrid w:val="0"/>
          <w:sz w:val="16"/>
          <w:lang w:val="en-GB"/>
        </w:rPr>
        <w:t>(</w:t>
      </w:r>
      <w:r w:rsidR="00540BD6" w:rsidRPr="001F6077">
        <w:rPr>
          <w:rFonts w:ascii="Calibri" w:hAnsi="Calibri" w:cs="Arial"/>
          <w:bCs/>
          <w:iCs/>
          <w:snapToGrid w:val="0"/>
          <w:sz w:val="16"/>
          <w:lang w:val="en-GB"/>
        </w:rPr>
        <w:t>d</w:t>
      </w:r>
      <w:r w:rsidRPr="001F6077">
        <w:rPr>
          <w:rFonts w:ascii="Calibri" w:hAnsi="Calibri" w:cs="Arial"/>
          <w:bCs/>
          <w:iCs/>
          <w:snapToGrid w:val="0"/>
          <w:sz w:val="16"/>
          <w:lang w:val="en-GB"/>
        </w:rPr>
        <w:t>)</w:t>
      </w:r>
      <w:r w:rsidRPr="001F6077">
        <w:rPr>
          <w:rFonts w:ascii="Calibri" w:hAnsi="Calibri" w:cs="Arial"/>
          <w:bCs/>
          <w:iCs/>
          <w:snapToGrid w:val="0"/>
          <w:sz w:val="16"/>
          <w:lang w:val="en-GB"/>
        </w:rPr>
        <w:tab/>
        <w:t>Roping of Areas</w:t>
      </w:r>
      <w:r w:rsidR="0027170A" w:rsidRPr="001F6077">
        <w:rPr>
          <w:rFonts w:ascii="Calibri" w:hAnsi="Calibri" w:cs="Arial"/>
          <w:bCs/>
          <w:iCs/>
          <w:snapToGrid w:val="0"/>
          <w:sz w:val="16"/>
          <w:lang w:val="en-GB"/>
        </w:rPr>
        <w:t>.</w:t>
      </w:r>
    </w:p>
    <w:p w14:paraId="59E5E7F9" w14:textId="77777777" w:rsidR="006E29F3" w:rsidRPr="001F6077" w:rsidRDefault="006E29F3" w:rsidP="00641CB3">
      <w:pPr>
        <w:pStyle w:val="BodyTextIndent2"/>
        <w:widowControl/>
        <w:ind w:hanging="360"/>
        <w:jc w:val="both"/>
        <w:rPr>
          <w:rFonts w:ascii="Calibri" w:hAnsi="Calibri" w:cs="Arial"/>
          <w:bCs/>
          <w:iCs/>
          <w:sz w:val="16"/>
          <w:lang w:val="en-GB"/>
        </w:rPr>
      </w:pPr>
      <w:r w:rsidRPr="001F6077">
        <w:rPr>
          <w:rFonts w:ascii="Calibri" w:hAnsi="Calibri" w:cs="Arial"/>
          <w:bCs/>
          <w:iCs/>
          <w:sz w:val="16"/>
          <w:lang w:val="en-GB"/>
        </w:rPr>
        <w:t>(i)</w:t>
      </w:r>
      <w:r w:rsidRPr="001F6077">
        <w:rPr>
          <w:rFonts w:ascii="Calibri" w:hAnsi="Calibri" w:cs="Arial"/>
          <w:bCs/>
          <w:iCs/>
          <w:sz w:val="16"/>
          <w:lang w:val="en-GB"/>
        </w:rPr>
        <w:tab/>
        <w:t>ALL GROUNDS are deemed accessible by the public even if that involves trespass.</w:t>
      </w:r>
    </w:p>
    <w:p w14:paraId="64011CDD" w14:textId="77777777" w:rsidR="006E29F3" w:rsidRPr="001F6077" w:rsidRDefault="006E29F3" w:rsidP="00641CB3">
      <w:pPr>
        <w:pStyle w:val="BodyTextIndent2"/>
        <w:widowControl/>
        <w:ind w:hanging="360"/>
        <w:jc w:val="both"/>
        <w:rPr>
          <w:rFonts w:ascii="Calibri" w:hAnsi="Calibri" w:cs="Arial"/>
          <w:bCs/>
          <w:iCs/>
          <w:sz w:val="16"/>
          <w:lang w:val="en-GB"/>
        </w:rPr>
      </w:pPr>
      <w:r w:rsidRPr="001F6077">
        <w:rPr>
          <w:rFonts w:ascii="Calibri" w:hAnsi="Calibri" w:cs="Arial"/>
          <w:bCs/>
          <w:iCs/>
          <w:sz w:val="16"/>
          <w:lang w:val="en-GB"/>
        </w:rPr>
        <w:t>(ii)</w:t>
      </w:r>
      <w:r w:rsidRPr="001F6077">
        <w:rPr>
          <w:rFonts w:ascii="Calibri" w:hAnsi="Calibri" w:cs="Arial"/>
          <w:bCs/>
          <w:iCs/>
          <w:sz w:val="16"/>
          <w:lang w:val="en-GB"/>
        </w:rPr>
        <w:tab/>
        <w:t>On grounds where the public have a right of access, the whole of the range as far as the overshoot line and the side safety areas shall be roped off to indicate that only authorized people can enter the area when shooting is in progress.</w:t>
      </w:r>
    </w:p>
    <w:p w14:paraId="19BD2939" w14:textId="77777777" w:rsidR="006E29F3" w:rsidRPr="001F6077" w:rsidRDefault="006E29F3" w:rsidP="00641CB3">
      <w:pPr>
        <w:pStyle w:val="BodyTextIndent2"/>
        <w:widowControl/>
        <w:ind w:hanging="360"/>
        <w:jc w:val="both"/>
        <w:rPr>
          <w:rFonts w:ascii="Calibri" w:hAnsi="Calibri" w:cs="Arial"/>
          <w:bCs/>
          <w:iCs/>
          <w:sz w:val="16"/>
          <w:lang w:val="en-GB"/>
        </w:rPr>
      </w:pPr>
      <w:r w:rsidRPr="001F6077">
        <w:rPr>
          <w:rFonts w:ascii="Calibri" w:hAnsi="Calibri" w:cs="Arial"/>
          <w:bCs/>
          <w:iCs/>
          <w:sz w:val="16"/>
          <w:lang w:val="en-GB"/>
        </w:rPr>
        <w:t>(iii)</w:t>
      </w:r>
      <w:r w:rsidRPr="001F6077">
        <w:rPr>
          <w:rFonts w:ascii="Calibri" w:hAnsi="Calibri" w:cs="Arial"/>
          <w:bCs/>
          <w:iCs/>
          <w:sz w:val="16"/>
          <w:lang w:val="en-GB"/>
        </w:rPr>
        <w:tab/>
        <w:t>It is recommended that the roped area be extended to include an area 15yds behind the shooting line and 10yds either side of the shooting line.</w:t>
      </w:r>
    </w:p>
    <w:p w14:paraId="08E32882" w14:textId="77777777" w:rsidR="00A45C32" w:rsidRPr="001F6077" w:rsidRDefault="00540BD6" w:rsidP="00A45C32">
      <w:pPr>
        <w:pStyle w:val="Heading6"/>
        <w:ind w:left="360"/>
        <w:rPr>
          <w:rFonts w:ascii="Calibri" w:hAnsi="Calibri"/>
          <w:i w:val="0"/>
          <w:color w:val="auto"/>
          <w:lang w:val="en-GB"/>
        </w:rPr>
      </w:pPr>
      <w:r w:rsidRPr="001F6077">
        <w:rPr>
          <w:rFonts w:ascii="Calibri" w:hAnsi="Calibri"/>
          <w:i w:val="0"/>
          <w:color w:val="auto"/>
          <w:lang w:val="en-GB"/>
        </w:rPr>
        <w:t>(e</w:t>
      </w:r>
      <w:r w:rsidR="006E29F3" w:rsidRPr="001F6077">
        <w:rPr>
          <w:rFonts w:ascii="Calibri" w:hAnsi="Calibri"/>
          <w:i w:val="0"/>
          <w:color w:val="auto"/>
          <w:lang w:val="en-GB"/>
        </w:rPr>
        <w:t>)</w:t>
      </w:r>
      <w:r w:rsidR="006E29F3" w:rsidRPr="001F6077">
        <w:rPr>
          <w:rFonts w:ascii="Calibri" w:hAnsi="Calibri"/>
          <w:i w:val="0"/>
          <w:color w:val="auto"/>
          <w:lang w:val="en-GB"/>
        </w:rPr>
        <w:tab/>
        <w:t>Independent Ranges</w:t>
      </w:r>
      <w:r w:rsidR="00A45C32" w:rsidRPr="001F6077">
        <w:rPr>
          <w:rFonts w:ascii="Calibri" w:hAnsi="Calibri"/>
          <w:i w:val="0"/>
          <w:color w:val="auto"/>
          <w:lang w:val="en-GB"/>
        </w:rPr>
        <w:t>. Where 2 adjacent ranges are in use independently, the safety area between the two ranges must be a minimum 20 yards, be fully roped off, and no access allowed until both ranges have finished shooting. See Appendix D for diagram</w:t>
      </w:r>
    </w:p>
    <w:p w14:paraId="0D95AA91" w14:textId="77777777" w:rsidR="001F6077" w:rsidRDefault="00540BD6" w:rsidP="001F6077">
      <w:pPr>
        <w:ind w:left="360" w:hanging="360"/>
        <w:rPr>
          <w:rFonts w:ascii="Calibri" w:hAnsi="Calibri" w:cs="Arial"/>
          <w:bCs/>
          <w:iCs/>
          <w:snapToGrid w:val="0"/>
          <w:sz w:val="16"/>
          <w:lang w:val="en-GB"/>
        </w:rPr>
      </w:pPr>
      <w:r w:rsidRPr="001F6077">
        <w:rPr>
          <w:rFonts w:ascii="Calibri" w:hAnsi="Calibri" w:cs="Arial"/>
          <w:bCs/>
          <w:iCs/>
          <w:snapToGrid w:val="0"/>
          <w:sz w:val="16"/>
          <w:lang w:val="en-GB"/>
        </w:rPr>
        <w:t>(f)      Clubs or event organisers who are unable to confirm that their range meets the Rules of Shooting must apply for a range assessment or terminate any shooting. Clubs must ensure shooting conforms at all times</w:t>
      </w:r>
      <w:r w:rsidR="001F6077" w:rsidRPr="001F6077">
        <w:rPr>
          <w:rFonts w:ascii="Calibri" w:hAnsi="Calibri" w:cs="Arial"/>
          <w:bCs/>
          <w:iCs/>
          <w:snapToGrid w:val="0"/>
          <w:sz w:val="16"/>
          <w:lang w:val="en-GB"/>
        </w:rPr>
        <w:t xml:space="preserve"> </w:t>
      </w:r>
      <w:r w:rsidR="005D0AF5" w:rsidRPr="001F6077">
        <w:rPr>
          <w:rFonts w:ascii="Calibri" w:hAnsi="Calibri" w:cs="Arial"/>
          <w:bCs/>
          <w:iCs/>
          <w:snapToGrid w:val="0"/>
          <w:sz w:val="16"/>
          <w:lang w:val="en-GB"/>
        </w:rPr>
        <w:t>to range safety rules and/or agreed range assessment when shooting is in progres</w:t>
      </w:r>
      <w:r w:rsidR="00C76C09" w:rsidRPr="001F6077">
        <w:rPr>
          <w:rFonts w:ascii="Calibri" w:hAnsi="Calibri" w:cs="Arial"/>
          <w:bCs/>
          <w:iCs/>
          <w:snapToGrid w:val="0"/>
          <w:sz w:val="16"/>
          <w:lang w:val="en-GB"/>
        </w:rPr>
        <w:t>s</w:t>
      </w:r>
      <w:r w:rsidR="005D0AF5" w:rsidRPr="001F6077">
        <w:rPr>
          <w:rFonts w:ascii="Calibri" w:hAnsi="Calibri" w:cs="Arial"/>
          <w:bCs/>
          <w:iCs/>
          <w:snapToGrid w:val="0"/>
          <w:sz w:val="16"/>
          <w:lang w:val="en-GB"/>
        </w:rPr>
        <w:t>.</w:t>
      </w:r>
    </w:p>
    <w:p w14:paraId="41BD3E03" w14:textId="77777777" w:rsidR="001F6077" w:rsidRDefault="001F6077" w:rsidP="001F6077">
      <w:pPr>
        <w:ind w:left="360" w:hanging="360"/>
        <w:rPr>
          <w:rFonts w:ascii="Calibri" w:hAnsi="Calibri" w:cs="Arial"/>
          <w:bCs/>
          <w:iCs/>
          <w:snapToGrid w:val="0"/>
          <w:sz w:val="16"/>
          <w:lang w:val="en-GB"/>
        </w:rPr>
      </w:pPr>
    </w:p>
    <w:p w14:paraId="1400E1EB" w14:textId="77777777" w:rsidR="001F6077" w:rsidRPr="001F6077" w:rsidRDefault="001F6077" w:rsidP="001F6077">
      <w:pPr>
        <w:ind w:left="360" w:hanging="360"/>
        <w:rPr>
          <w:rFonts w:ascii="Calibri" w:hAnsi="Calibri" w:cs="Arial"/>
          <w:b/>
          <w:bCs/>
          <w:iCs/>
          <w:snapToGrid w:val="0"/>
          <w:sz w:val="16"/>
          <w:lang w:val="en-GB"/>
        </w:rPr>
      </w:pPr>
      <w:r w:rsidRPr="001F6077">
        <w:rPr>
          <w:rFonts w:ascii="Calibri" w:hAnsi="Calibri" w:cs="Arial"/>
          <w:b/>
          <w:bCs/>
          <w:iCs/>
          <w:snapToGrid w:val="0"/>
          <w:sz w:val="16"/>
          <w:lang w:val="en-GB"/>
        </w:rPr>
        <w:t>Rule 303 has been amended as follows:</w:t>
      </w:r>
    </w:p>
    <w:p w14:paraId="00E7AC46" w14:textId="77777777" w:rsidR="001F6077" w:rsidRDefault="001F6077" w:rsidP="001F6077">
      <w:pPr>
        <w:ind w:left="360" w:hanging="360"/>
        <w:rPr>
          <w:rFonts w:ascii="Calibri" w:hAnsi="Calibri" w:cs="Arial"/>
          <w:bCs/>
          <w:iCs/>
          <w:snapToGrid w:val="0"/>
          <w:sz w:val="16"/>
          <w:lang w:val="en-GB"/>
        </w:rPr>
      </w:pPr>
      <w:r>
        <w:rPr>
          <w:rFonts w:ascii="Calibri" w:hAnsi="Calibri" w:cs="Arial"/>
          <w:bCs/>
          <w:iCs/>
          <w:snapToGrid w:val="0"/>
          <w:sz w:val="16"/>
          <w:lang w:val="en-GB"/>
        </w:rPr>
        <w:t>1) Removal of (f) which had previously been deleted</w:t>
      </w:r>
    </w:p>
    <w:p w14:paraId="52C899DF" w14:textId="77777777" w:rsidR="001F6077" w:rsidRDefault="001F6077" w:rsidP="001F6077">
      <w:pPr>
        <w:ind w:left="360" w:hanging="360"/>
        <w:rPr>
          <w:rFonts w:ascii="Calibri" w:hAnsi="Calibri" w:cs="Arial"/>
          <w:bCs/>
          <w:iCs/>
          <w:snapToGrid w:val="0"/>
          <w:sz w:val="16"/>
          <w:lang w:val="en-GB"/>
        </w:rPr>
      </w:pPr>
      <w:r>
        <w:rPr>
          <w:rFonts w:ascii="Calibri" w:hAnsi="Calibri" w:cs="Arial"/>
          <w:bCs/>
          <w:iCs/>
          <w:snapToGrid w:val="0"/>
          <w:sz w:val="16"/>
          <w:lang w:val="en-GB"/>
        </w:rPr>
        <w:t>2) Renumbering (g) and (h) to be (f) and (g)</w:t>
      </w:r>
    </w:p>
    <w:p w14:paraId="74C3F2CD" w14:textId="77777777" w:rsidR="001F6077" w:rsidRPr="001F6077" w:rsidRDefault="001F6077" w:rsidP="001F6077">
      <w:pPr>
        <w:ind w:left="360" w:hanging="360"/>
        <w:rPr>
          <w:rFonts w:ascii="Calibri" w:hAnsi="Calibri" w:cs="Arial"/>
          <w:bCs/>
          <w:iCs/>
          <w:snapToGrid w:val="0"/>
          <w:sz w:val="16"/>
          <w:lang w:val="en-GB"/>
        </w:rPr>
      </w:pPr>
    </w:p>
    <w:p w14:paraId="1C469245" w14:textId="77777777" w:rsidR="00D21BFA" w:rsidRPr="00DA1CCB" w:rsidRDefault="00D21BFA" w:rsidP="00641CB3">
      <w:pPr>
        <w:tabs>
          <w:tab w:val="left" w:pos="360"/>
        </w:tabs>
        <w:jc w:val="both"/>
        <w:rPr>
          <w:rFonts w:ascii="Calibri" w:hAnsi="Calibri" w:cs="Calibri"/>
          <w:bCs/>
          <w:snapToGrid w:val="0"/>
          <w:color w:val="000000"/>
          <w:sz w:val="16"/>
        </w:rPr>
      </w:pPr>
      <w:r w:rsidRPr="00DA1CCB">
        <w:rPr>
          <w:rFonts w:ascii="Calibri" w:hAnsi="Calibri" w:cs="Calibri"/>
          <w:b/>
          <w:snapToGrid w:val="0"/>
          <w:color w:val="000000"/>
          <w:sz w:val="16"/>
        </w:rPr>
        <w:t>303.</w:t>
      </w:r>
      <w:r w:rsidRPr="00DA1CCB">
        <w:rPr>
          <w:rFonts w:ascii="Calibri" w:hAnsi="Calibri" w:cs="Calibri"/>
          <w:b/>
          <w:snapToGrid w:val="0"/>
          <w:color w:val="000000"/>
          <w:sz w:val="16"/>
        </w:rPr>
        <w:tab/>
        <w:t>Bowstyles</w:t>
      </w:r>
      <w:r w:rsidR="00C76C09">
        <w:rPr>
          <w:rFonts w:ascii="Calibri" w:hAnsi="Calibri" w:cs="Calibri"/>
          <w:b/>
          <w:snapToGrid w:val="0"/>
          <w:color w:val="000000"/>
          <w:sz w:val="16"/>
        </w:rPr>
        <w:t xml:space="preserve"> </w:t>
      </w:r>
      <w:r w:rsidRPr="00DA1CCB">
        <w:rPr>
          <w:rFonts w:ascii="Calibri" w:hAnsi="Calibri" w:cs="Calibri"/>
          <w:bCs/>
          <w:snapToGrid w:val="0"/>
          <w:color w:val="000000"/>
          <w:sz w:val="16"/>
        </w:rPr>
        <w:t>The description of</w:t>
      </w:r>
      <w:r w:rsidR="00C76C09">
        <w:rPr>
          <w:rFonts w:ascii="Calibri" w:hAnsi="Calibri" w:cs="Calibri"/>
          <w:bCs/>
          <w:snapToGrid w:val="0"/>
          <w:color w:val="000000"/>
          <w:sz w:val="16"/>
        </w:rPr>
        <w:t xml:space="preserve"> </w:t>
      </w:r>
      <w:r w:rsidR="00540BD6">
        <w:rPr>
          <w:rFonts w:ascii="Calibri" w:hAnsi="Calibri" w:cs="Calibri"/>
          <w:bCs/>
          <w:snapToGrid w:val="0"/>
          <w:color w:val="000000"/>
          <w:sz w:val="16"/>
        </w:rPr>
        <w:t xml:space="preserve">bowstyles is given in Part 2. Bowstyles recognized for </w:t>
      </w:r>
      <w:r w:rsidRPr="00DA1CCB">
        <w:rPr>
          <w:rFonts w:ascii="Calibri" w:hAnsi="Calibri" w:cs="Calibri"/>
          <w:bCs/>
          <w:snapToGrid w:val="0"/>
          <w:color w:val="000000"/>
          <w:sz w:val="16"/>
        </w:rPr>
        <w:t>Target Archery and additional detail are as follows:</w:t>
      </w:r>
    </w:p>
    <w:p w14:paraId="5A6614D7" w14:textId="77777777" w:rsidR="00D21BFA" w:rsidRPr="00DA1CCB" w:rsidRDefault="00D21BFA" w:rsidP="00641CB3">
      <w:pPr>
        <w:ind w:left="360" w:hanging="360"/>
        <w:jc w:val="both"/>
        <w:rPr>
          <w:rFonts w:ascii="Calibri" w:hAnsi="Calibri" w:cs="Calibri"/>
          <w:snapToGrid w:val="0"/>
          <w:color w:val="000000"/>
          <w:sz w:val="16"/>
        </w:rPr>
      </w:pPr>
      <w:r w:rsidRPr="00DA1CCB">
        <w:rPr>
          <w:rFonts w:ascii="Calibri" w:hAnsi="Calibri" w:cs="Calibri"/>
          <w:snapToGrid w:val="0"/>
          <w:color w:val="000000"/>
          <w:sz w:val="16"/>
        </w:rPr>
        <w:t>(a)</w:t>
      </w:r>
      <w:r w:rsidRPr="00DA1CCB">
        <w:rPr>
          <w:rFonts w:ascii="Calibri" w:hAnsi="Calibri" w:cs="Calibri"/>
          <w:snapToGrid w:val="0"/>
          <w:color w:val="000000"/>
          <w:sz w:val="16"/>
        </w:rPr>
        <w:tab/>
        <w:t xml:space="preserve">Recurve (Freestyle)  </w:t>
      </w:r>
      <w:r w:rsidRPr="00DA1CCB">
        <w:rPr>
          <w:rFonts w:ascii="Calibri" w:hAnsi="Calibri" w:cs="Calibri"/>
          <w:color w:val="000000"/>
          <w:sz w:val="16"/>
        </w:rPr>
        <w:t>–</w:t>
      </w:r>
      <w:r w:rsidRPr="00DA1CCB">
        <w:rPr>
          <w:rFonts w:ascii="Calibri" w:hAnsi="Calibri" w:cs="Calibri"/>
          <w:snapToGrid w:val="0"/>
          <w:color w:val="000000"/>
          <w:sz w:val="16"/>
        </w:rPr>
        <w:t>Equipment as defined in Rule 202.</w:t>
      </w:r>
    </w:p>
    <w:p w14:paraId="193A69A7" w14:textId="77777777" w:rsidR="00D21BFA" w:rsidRPr="00DA1CCB" w:rsidRDefault="00D21BFA" w:rsidP="00641CB3">
      <w:pPr>
        <w:ind w:left="360" w:hanging="360"/>
        <w:jc w:val="both"/>
        <w:rPr>
          <w:rFonts w:ascii="Calibri" w:hAnsi="Calibri" w:cs="Calibri"/>
          <w:snapToGrid w:val="0"/>
          <w:color w:val="000000"/>
          <w:sz w:val="16"/>
        </w:rPr>
      </w:pPr>
      <w:r w:rsidRPr="00DA1CCB">
        <w:rPr>
          <w:rFonts w:ascii="Calibri" w:hAnsi="Calibri" w:cs="Calibri"/>
          <w:snapToGrid w:val="0"/>
          <w:color w:val="000000"/>
          <w:sz w:val="16"/>
        </w:rPr>
        <w:t>(b)</w:t>
      </w:r>
      <w:r w:rsidRPr="00DA1CCB">
        <w:rPr>
          <w:rFonts w:ascii="Calibri" w:hAnsi="Calibri" w:cs="Calibri"/>
          <w:snapToGrid w:val="0"/>
          <w:color w:val="000000"/>
          <w:sz w:val="16"/>
        </w:rPr>
        <w:tab/>
      </w:r>
      <w:r w:rsidR="003122B1" w:rsidRPr="00DA1CCB">
        <w:rPr>
          <w:rFonts w:ascii="Calibri" w:hAnsi="Calibri" w:cs="Calibri"/>
          <w:snapToGrid w:val="0"/>
          <w:color w:val="000000"/>
          <w:sz w:val="16"/>
        </w:rPr>
        <w:t>WA</w:t>
      </w:r>
      <w:r w:rsidRPr="00DA1CCB">
        <w:rPr>
          <w:rFonts w:ascii="Calibri" w:hAnsi="Calibri" w:cs="Calibri"/>
          <w:snapToGrid w:val="0"/>
          <w:color w:val="000000"/>
          <w:sz w:val="16"/>
        </w:rPr>
        <w:t xml:space="preserve"> Standard Bow (for </w:t>
      </w:r>
      <w:r w:rsidR="003122B1" w:rsidRPr="00DA1CCB">
        <w:rPr>
          <w:rFonts w:ascii="Calibri" w:hAnsi="Calibri" w:cs="Calibri"/>
          <w:snapToGrid w:val="0"/>
          <w:color w:val="000000"/>
          <w:sz w:val="16"/>
        </w:rPr>
        <w:t>WA</w:t>
      </w:r>
      <w:r w:rsidRPr="00DA1CCB">
        <w:rPr>
          <w:rFonts w:ascii="Calibri" w:hAnsi="Calibri" w:cs="Calibri"/>
          <w:snapToGrid w:val="0"/>
          <w:color w:val="000000"/>
          <w:sz w:val="16"/>
        </w:rPr>
        <w:t xml:space="preserve"> Standard Round only) </w:t>
      </w:r>
      <w:r w:rsidRPr="00DA1CCB">
        <w:rPr>
          <w:rFonts w:ascii="Calibri" w:hAnsi="Calibri" w:cs="Calibri"/>
          <w:color w:val="000000"/>
          <w:sz w:val="16"/>
        </w:rPr>
        <w:t>–</w:t>
      </w:r>
      <w:r w:rsidRPr="00DA1CCB">
        <w:rPr>
          <w:rFonts w:ascii="Calibri" w:hAnsi="Calibri" w:cs="Calibri"/>
          <w:snapToGrid w:val="0"/>
          <w:color w:val="000000"/>
          <w:sz w:val="16"/>
        </w:rPr>
        <w:t xml:space="preserve">  Equipment as defined in Rule 203</w:t>
      </w:r>
    </w:p>
    <w:p w14:paraId="70F3F492" w14:textId="77777777" w:rsidR="00D21BFA" w:rsidRPr="00DA1CCB" w:rsidRDefault="00D21BFA" w:rsidP="00641CB3">
      <w:pPr>
        <w:ind w:left="360" w:hanging="360"/>
        <w:jc w:val="both"/>
        <w:rPr>
          <w:rFonts w:ascii="Calibri" w:hAnsi="Calibri" w:cs="Calibri"/>
          <w:snapToGrid w:val="0"/>
          <w:color w:val="000000"/>
          <w:sz w:val="16"/>
        </w:rPr>
      </w:pPr>
      <w:r w:rsidRPr="00DA1CCB">
        <w:rPr>
          <w:rFonts w:ascii="Calibri" w:hAnsi="Calibri" w:cs="Calibri"/>
          <w:snapToGrid w:val="0"/>
          <w:color w:val="000000"/>
          <w:sz w:val="16"/>
        </w:rPr>
        <w:t>(c)</w:t>
      </w:r>
      <w:r w:rsidRPr="00DA1CCB">
        <w:rPr>
          <w:rFonts w:ascii="Calibri" w:hAnsi="Calibri" w:cs="Calibri"/>
          <w:snapToGrid w:val="0"/>
          <w:color w:val="000000"/>
          <w:sz w:val="16"/>
        </w:rPr>
        <w:tab/>
        <w:t>Recurve Barebow</w:t>
      </w:r>
      <w:r w:rsidRPr="00DA1CCB">
        <w:rPr>
          <w:rFonts w:ascii="Calibri" w:hAnsi="Calibri" w:cs="Calibri"/>
          <w:color w:val="000000"/>
          <w:sz w:val="16"/>
        </w:rPr>
        <w:t>–</w:t>
      </w:r>
      <w:r w:rsidRPr="00DA1CCB">
        <w:rPr>
          <w:rFonts w:ascii="Calibri" w:hAnsi="Calibri" w:cs="Calibri"/>
          <w:snapToGrid w:val="0"/>
          <w:color w:val="000000"/>
          <w:sz w:val="16"/>
        </w:rPr>
        <w:t xml:space="preserve">  Equipment as defined in Rule 204</w:t>
      </w:r>
    </w:p>
    <w:p w14:paraId="59FA7B20" w14:textId="77777777" w:rsidR="00D21BFA" w:rsidRPr="00DA1CCB" w:rsidRDefault="00D21BFA" w:rsidP="00641CB3">
      <w:pPr>
        <w:ind w:left="360" w:hanging="360"/>
        <w:jc w:val="both"/>
        <w:rPr>
          <w:rFonts w:ascii="Calibri" w:hAnsi="Calibri" w:cs="Calibri"/>
          <w:snapToGrid w:val="0"/>
          <w:color w:val="000000"/>
          <w:sz w:val="16"/>
        </w:rPr>
      </w:pPr>
      <w:r w:rsidRPr="00DA1CCB">
        <w:rPr>
          <w:rFonts w:ascii="Calibri" w:hAnsi="Calibri" w:cs="Calibri"/>
          <w:snapToGrid w:val="0"/>
          <w:color w:val="000000"/>
          <w:sz w:val="16"/>
        </w:rPr>
        <w:t>(d)</w:t>
      </w:r>
      <w:r w:rsidRPr="00DA1CCB">
        <w:rPr>
          <w:rFonts w:ascii="Calibri" w:hAnsi="Calibri" w:cs="Calibri"/>
          <w:snapToGrid w:val="0"/>
          <w:color w:val="000000"/>
          <w:sz w:val="16"/>
        </w:rPr>
        <w:tab/>
        <w:t xml:space="preserve">Longbow  </w:t>
      </w:r>
      <w:r w:rsidRPr="00DA1CCB">
        <w:rPr>
          <w:rFonts w:ascii="Calibri" w:hAnsi="Calibri" w:cs="Calibri"/>
          <w:color w:val="000000"/>
          <w:sz w:val="16"/>
        </w:rPr>
        <w:t>–</w:t>
      </w:r>
      <w:r w:rsidRPr="00DA1CCB">
        <w:rPr>
          <w:rFonts w:ascii="Calibri" w:hAnsi="Calibri" w:cs="Calibri"/>
          <w:snapToGrid w:val="0"/>
          <w:color w:val="000000"/>
          <w:sz w:val="16"/>
        </w:rPr>
        <w:t xml:space="preserve">  Equipment as defined in Rule 206</w:t>
      </w:r>
    </w:p>
    <w:p w14:paraId="79525EA7" w14:textId="77777777" w:rsidR="00D21BFA" w:rsidRPr="00DA1CCB" w:rsidRDefault="00D21BFA" w:rsidP="00641CB3">
      <w:pPr>
        <w:ind w:left="360" w:hanging="360"/>
        <w:jc w:val="both"/>
        <w:rPr>
          <w:rFonts w:ascii="Calibri" w:hAnsi="Calibri" w:cs="Calibri"/>
          <w:snapToGrid w:val="0"/>
          <w:color w:val="000000"/>
          <w:sz w:val="16"/>
        </w:rPr>
      </w:pPr>
      <w:r w:rsidRPr="00DA1CCB">
        <w:rPr>
          <w:rFonts w:ascii="Calibri" w:hAnsi="Calibri" w:cs="Calibri"/>
          <w:snapToGrid w:val="0"/>
          <w:color w:val="000000"/>
          <w:sz w:val="16"/>
        </w:rPr>
        <w:t>(e)</w:t>
      </w:r>
      <w:r w:rsidRPr="00DA1CCB">
        <w:rPr>
          <w:rFonts w:ascii="Calibri" w:hAnsi="Calibri" w:cs="Calibri"/>
          <w:snapToGrid w:val="0"/>
          <w:color w:val="000000"/>
          <w:sz w:val="16"/>
        </w:rPr>
        <w:tab/>
        <w:t xml:space="preserve">Compound Unlimited  </w:t>
      </w:r>
      <w:r w:rsidRPr="00DA1CCB">
        <w:rPr>
          <w:rFonts w:ascii="Calibri" w:hAnsi="Calibri" w:cs="Calibri"/>
          <w:color w:val="000000"/>
          <w:sz w:val="16"/>
        </w:rPr>
        <w:t>–</w:t>
      </w:r>
      <w:r w:rsidRPr="00DA1CCB">
        <w:rPr>
          <w:rFonts w:ascii="Calibri" w:hAnsi="Calibri" w:cs="Calibri"/>
          <w:snapToGrid w:val="0"/>
          <w:color w:val="000000"/>
          <w:sz w:val="16"/>
        </w:rPr>
        <w:t xml:space="preserve"> Equipment as defined Rule 207</w:t>
      </w:r>
    </w:p>
    <w:p w14:paraId="68061950" w14:textId="77777777" w:rsidR="001F6077" w:rsidRDefault="005751E5" w:rsidP="001F6077">
      <w:pPr>
        <w:widowControl w:val="0"/>
        <w:ind w:left="360" w:hanging="360"/>
        <w:jc w:val="both"/>
        <w:rPr>
          <w:rFonts w:ascii="Calibri" w:hAnsi="Calibri" w:cs="Arial"/>
          <w:bCs/>
          <w:iCs/>
          <w:snapToGrid w:val="0"/>
          <w:sz w:val="16"/>
          <w:lang w:val="en-GB"/>
        </w:rPr>
      </w:pPr>
      <w:r w:rsidRPr="001F6077">
        <w:rPr>
          <w:rFonts w:ascii="Calibri" w:hAnsi="Calibri" w:cs="Arial"/>
          <w:bCs/>
          <w:iCs/>
          <w:snapToGrid w:val="0"/>
          <w:sz w:val="16"/>
          <w:lang w:val="en-GB"/>
        </w:rPr>
        <w:t>(f)</w:t>
      </w:r>
      <w:r w:rsidRPr="001F6077">
        <w:rPr>
          <w:rFonts w:ascii="Calibri" w:hAnsi="Calibri" w:cs="Arial"/>
          <w:bCs/>
          <w:iCs/>
          <w:snapToGrid w:val="0"/>
          <w:sz w:val="16"/>
          <w:lang w:val="en-GB"/>
        </w:rPr>
        <w:tab/>
      </w:r>
      <w:r w:rsidR="00D21BFA" w:rsidRPr="001F6077">
        <w:rPr>
          <w:rFonts w:ascii="Calibri" w:hAnsi="Calibri" w:cs="Arial"/>
          <w:bCs/>
          <w:iCs/>
          <w:snapToGrid w:val="0"/>
          <w:sz w:val="16"/>
          <w:lang w:val="en-GB"/>
        </w:rPr>
        <w:t>Crossbow   –  Equipment as defined in Rule 210.</w:t>
      </w:r>
    </w:p>
    <w:p w14:paraId="4D05FA96" w14:textId="77777777" w:rsidR="00AD2BDA" w:rsidRPr="001F6077" w:rsidRDefault="00593CAE" w:rsidP="001F6077">
      <w:pPr>
        <w:widowControl w:val="0"/>
        <w:ind w:left="360" w:hanging="360"/>
        <w:jc w:val="both"/>
        <w:rPr>
          <w:rFonts w:ascii="Calibri" w:hAnsi="Calibri" w:cs="Arial"/>
          <w:bCs/>
          <w:iCs/>
          <w:snapToGrid w:val="0"/>
          <w:sz w:val="16"/>
          <w:lang w:val="en-GB"/>
        </w:rPr>
      </w:pPr>
      <w:r w:rsidRPr="001F6077">
        <w:rPr>
          <w:rFonts w:ascii="Calibri" w:hAnsi="Calibri" w:cs="Arial"/>
          <w:bCs/>
          <w:iCs/>
          <w:snapToGrid w:val="0"/>
          <w:sz w:val="16"/>
          <w:lang w:val="en-GB"/>
        </w:rPr>
        <w:t>(g</w:t>
      </w:r>
      <w:r w:rsidR="00D21BFA" w:rsidRPr="001F6077">
        <w:rPr>
          <w:rFonts w:ascii="Calibri" w:hAnsi="Calibri" w:cs="Arial"/>
          <w:bCs/>
          <w:iCs/>
          <w:snapToGrid w:val="0"/>
          <w:sz w:val="16"/>
          <w:lang w:val="en-GB"/>
        </w:rPr>
        <w:t>)</w:t>
      </w:r>
      <w:r w:rsidR="00D21BFA" w:rsidRPr="001F6077">
        <w:rPr>
          <w:rFonts w:ascii="Calibri" w:hAnsi="Calibri" w:cs="Arial"/>
          <w:bCs/>
          <w:iCs/>
          <w:snapToGrid w:val="0"/>
          <w:sz w:val="16"/>
          <w:lang w:val="en-GB"/>
        </w:rPr>
        <w:tab/>
        <w:t>Exclusions.  Archers are not permitted electronic communications devices and headsets in front of the waiting line</w:t>
      </w:r>
      <w:r w:rsidR="009F2DAF" w:rsidRPr="001F6077">
        <w:rPr>
          <w:rFonts w:ascii="Calibri" w:hAnsi="Calibri" w:cs="Arial"/>
          <w:bCs/>
          <w:iCs/>
          <w:snapToGrid w:val="0"/>
          <w:sz w:val="16"/>
          <w:lang w:val="en-GB"/>
        </w:rPr>
        <w:t>.</w:t>
      </w:r>
    </w:p>
    <w:p w14:paraId="796B353D" w14:textId="77777777" w:rsidR="0078081F" w:rsidRDefault="001F6077" w:rsidP="0078081F">
      <w:pPr>
        <w:jc w:val="both"/>
        <w:rPr>
          <w:rFonts w:ascii="Calibri" w:hAnsi="Calibri" w:cs="Calibri"/>
          <w:b/>
          <w:color w:val="000000"/>
          <w:sz w:val="16"/>
        </w:rPr>
      </w:pPr>
      <w:r>
        <w:rPr>
          <w:rFonts w:ascii="Calibri" w:hAnsi="Calibri" w:cs="Calibri"/>
          <w:b/>
          <w:color w:val="000000"/>
          <w:sz w:val="16"/>
        </w:rPr>
        <w:lastRenderedPageBreak/>
        <w:t>Clout Shooting overshoot:</w:t>
      </w:r>
    </w:p>
    <w:p w14:paraId="20E662D1" w14:textId="77777777" w:rsidR="001F6077" w:rsidRDefault="001F6077" w:rsidP="0078081F">
      <w:pPr>
        <w:jc w:val="both"/>
        <w:rPr>
          <w:rFonts w:ascii="Calibri" w:hAnsi="Calibri" w:cs="Calibri"/>
          <w:color w:val="000000"/>
          <w:sz w:val="16"/>
        </w:rPr>
      </w:pPr>
      <w:r>
        <w:rPr>
          <w:rFonts w:ascii="Calibri" w:hAnsi="Calibri" w:cs="Calibri"/>
          <w:color w:val="000000"/>
          <w:sz w:val="16"/>
        </w:rPr>
        <w:t>Rule 700 (b) has been revised with new overshoot rules for clout shooting. The revised wording is:</w:t>
      </w:r>
    </w:p>
    <w:p w14:paraId="4169B6EE" w14:textId="77777777" w:rsidR="00D21BFA" w:rsidRPr="00DA1CCB" w:rsidRDefault="00D21BFA">
      <w:pPr>
        <w:widowControl w:val="0"/>
        <w:ind w:left="720" w:hanging="720"/>
        <w:rPr>
          <w:rFonts w:ascii="Calibri" w:hAnsi="Calibri" w:cs="Calibri"/>
          <w:b/>
          <w:snapToGrid w:val="0"/>
          <w:color w:val="000000"/>
          <w:sz w:val="16"/>
        </w:rPr>
      </w:pPr>
    </w:p>
    <w:p w14:paraId="0F9B9B7C" w14:textId="77777777" w:rsidR="00D21BFA" w:rsidRPr="00DA1CCB" w:rsidRDefault="00D21BFA" w:rsidP="00147F6B">
      <w:pPr>
        <w:widowControl w:val="0"/>
        <w:tabs>
          <w:tab w:val="left" w:pos="360"/>
        </w:tabs>
        <w:jc w:val="both"/>
        <w:rPr>
          <w:rFonts w:ascii="Calibri" w:hAnsi="Calibri" w:cs="Calibri"/>
          <w:b/>
          <w:snapToGrid w:val="0"/>
          <w:color w:val="000000"/>
          <w:sz w:val="16"/>
        </w:rPr>
      </w:pPr>
      <w:r w:rsidRPr="00DA1CCB">
        <w:rPr>
          <w:rFonts w:ascii="Calibri" w:hAnsi="Calibri" w:cs="Calibri"/>
          <w:b/>
          <w:snapToGrid w:val="0"/>
          <w:color w:val="000000"/>
          <w:sz w:val="16"/>
        </w:rPr>
        <w:t>700.</w:t>
      </w:r>
      <w:r w:rsidRPr="00DA1CCB">
        <w:rPr>
          <w:rFonts w:ascii="Calibri" w:hAnsi="Calibri" w:cs="Calibri"/>
          <w:b/>
          <w:snapToGrid w:val="0"/>
          <w:color w:val="000000"/>
          <w:sz w:val="16"/>
        </w:rPr>
        <w:tab/>
        <w:t>General Regulations</w:t>
      </w:r>
    </w:p>
    <w:p w14:paraId="5FA8A169" w14:textId="77777777" w:rsidR="00A45C32" w:rsidRDefault="0078081F" w:rsidP="00A45C32">
      <w:pPr>
        <w:pStyle w:val="Heading7"/>
        <w:ind w:left="360"/>
        <w:rPr>
          <w:rFonts w:ascii="Calibri" w:hAnsi="Calibri"/>
          <w:i w:val="0"/>
          <w:color w:val="auto"/>
          <w:lang w:val="en-GB" w:eastAsia="en-GB"/>
        </w:rPr>
      </w:pPr>
      <w:r w:rsidRPr="00A45C32">
        <w:rPr>
          <w:rFonts w:ascii="Calibri" w:hAnsi="Calibri" w:cs="Calibri"/>
          <w:i w:val="0"/>
          <w:color w:val="000000"/>
        </w:rPr>
        <w:t xml:space="preserve"> </w:t>
      </w:r>
      <w:r w:rsidR="00D21BFA" w:rsidRPr="00A45C32">
        <w:rPr>
          <w:rFonts w:ascii="Calibri" w:hAnsi="Calibri" w:cs="Calibri"/>
          <w:i w:val="0"/>
          <w:color w:val="000000"/>
        </w:rPr>
        <w:t>(b)</w:t>
      </w:r>
      <w:r w:rsidR="00D21BFA" w:rsidRPr="00A45C32">
        <w:rPr>
          <w:rFonts w:ascii="Calibri" w:hAnsi="Calibri" w:cs="Calibri"/>
          <w:i w:val="0"/>
          <w:color w:val="000000"/>
        </w:rPr>
        <w:tab/>
      </w:r>
      <w:r w:rsidR="00A45C32" w:rsidRPr="001F6077">
        <w:rPr>
          <w:rFonts w:ascii="Calibri" w:hAnsi="Calibri"/>
          <w:i w:val="0"/>
          <w:color w:val="auto"/>
          <w:lang w:val="en-GB" w:eastAsia="en-GB"/>
        </w:rPr>
        <w:t>Range safety shall follow the principles of Range Safety for Target Archery (Rule 302). For clout distances beyond 100 yards, the side safety should continue to extend from 20 yards at 100 yards, to 25 yards at 150 yards, and 30 yards at 180 yards, and remain at 30 yards thereafter. The overshoot distance for clout targets set beyond 100 yards will be 50 yards from the clout. The overshoot must be level ground. A diagram is at Appendix E</w:t>
      </w:r>
    </w:p>
    <w:p w14:paraId="63453047" w14:textId="77777777" w:rsidR="001F6077" w:rsidRDefault="001F6077" w:rsidP="001F6077">
      <w:pPr>
        <w:rPr>
          <w:lang w:val="en-GB" w:eastAsia="en-GB"/>
        </w:rPr>
      </w:pPr>
    </w:p>
    <w:p w14:paraId="705A0CA6" w14:textId="77777777" w:rsidR="001F6077" w:rsidRPr="001F6077" w:rsidRDefault="001F6077" w:rsidP="001F6077">
      <w:pPr>
        <w:rPr>
          <w:lang w:val="en-GB" w:eastAsia="en-GB"/>
        </w:rPr>
      </w:pPr>
    </w:p>
    <w:sectPr w:rsidR="001F6077" w:rsidRPr="001F6077" w:rsidSect="0078081F">
      <w:footerReference w:type="even" r:id="rId11"/>
      <w:footerReference w:type="default" r:id="rId12"/>
      <w:type w:val="oddPage"/>
      <w:pgSz w:w="8395" w:h="11909" w:code="11"/>
      <w:pgMar w:top="432" w:right="720" w:bottom="1008" w:left="720" w:header="288" w:footer="662" w:gutter="36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5218" w14:textId="77777777" w:rsidR="00FD0581" w:rsidRDefault="00FD0581">
      <w:r>
        <w:separator/>
      </w:r>
    </w:p>
  </w:endnote>
  <w:endnote w:type="continuationSeparator" w:id="0">
    <w:p w14:paraId="4E09B5B6" w14:textId="77777777" w:rsidR="00FD0581" w:rsidRDefault="00FD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90BC" w14:textId="02E8AD8D" w:rsidR="0052177C" w:rsidRPr="005D13BB" w:rsidRDefault="0052177C">
    <w:pPr>
      <w:pStyle w:val="Footer"/>
      <w:tabs>
        <w:tab w:val="clear" w:pos="4320"/>
        <w:tab w:val="clear" w:pos="8640"/>
        <w:tab w:val="right" w:pos="6480"/>
      </w:tabs>
      <w:ind w:right="25"/>
      <w:rPr>
        <w:rFonts w:cs="Calibri"/>
      </w:rPr>
    </w:pPr>
    <w:r w:rsidRPr="005D13BB">
      <w:rPr>
        <w:rFonts w:cs="Calibri"/>
      </w:rPr>
      <w:t>Ind-</w:t>
    </w:r>
    <w:r w:rsidR="00954EB1" w:rsidRPr="005D13BB">
      <w:rPr>
        <w:rStyle w:val="PageNumber"/>
        <w:rFonts w:cs="Calibri"/>
      </w:rPr>
      <w:fldChar w:fldCharType="begin"/>
    </w:r>
    <w:r w:rsidRPr="005D13BB">
      <w:rPr>
        <w:rStyle w:val="PageNumber"/>
        <w:rFonts w:cs="Calibri"/>
      </w:rPr>
      <w:instrText xml:space="preserve"> PAGE </w:instrText>
    </w:r>
    <w:r w:rsidR="00954EB1" w:rsidRPr="005D13BB">
      <w:rPr>
        <w:rStyle w:val="PageNumber"/>
        <w:rFonts w:cs="Calibri"/>
      </w:rPr>
      <w:fldChar w:fldCharType="separate"/>
    </w:r>
    <w:r w:rsidR="00D85C80">
      <w:rPr>
        <w:rStyle w:val="PageNumber"/>
        <w:rFonts w:cs="Calibri"/>
        <w:noProof/>
      </w:rPr>
      <w:t>2</w:t>
    </w:r>
    <w:r w:rsidR="00954EB1" w:rsidRPr="005D13BB">
      <w:rPr>
        <w:rStyle w:val="PageNumber"/>
        <w:rFonts w:cs="Calibri"/>
      </w:rPr>
      <w:fldChar w:fldCharType="end"/>
    </w:r>
    <w:r>
      <w:rPr>
        <w:rStyle w:val="PageNumber"/>
        <w:rFonts w:cs="Calibri"/>
      </w:rPr>
      <w:tab/>
    </w:r>
    <w:r w:rsidR="007C1135">
      <w:rPr>
        <w:rStyle w:val="PageNumber"/>
        <w:rFonts w:cs="Calibri"/>
      </w:rPr>
      <w:t>April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E3A8" w14:textId="2B9993E7" w:rsidR="0052177C" w:rsidRPr="005D13BB" w:rsidRDefault="007C1135">
    <w:pPr>
      <w:pStyle w:val="Footer"/>
      <w:tabs>
        <w:tab w:val="clear" w:pos="4320"/>
        <w:tab w:val="right" w:pos="6480"/>
      </w:tabs>
      <w:rPr>
        <w:rFonts w:cs="Calibri"/>
      </w:rPr>
    </w:pPr>
    <w:r>
      <w:rPr>
        <w:rStyle w:val="PageNumber"/>
        <w:rFonts w:cs="Calibri"/>
      </w:rPr>
      <w:t>April 2017</w:t>
    </w:r>
    <w:r w:rsidR="0052177C" w:rsidRPr="005D13BB">
      <w:rPr>
        <w:rFonts w:cs="Calibri"/>
      </w:rPr>
      <w:tab/>
      <w:t>Ind-</w:t>
    </w:r>
    <w:r w:rsidR="00954EB1" w:rsidRPr="005D13BB">
      <w:rPr>
        <w:rStyle w:val="PageNumber"/>
        <w:rFonts w:cs="Calibri"/>
      </w:rPr>
      <w:fldChar w:fldCharType="begin"/>
    </w:r>
    <w:r w:rsidR="0052177C" w:rsidRPr="005D13BB">
      <w:rPr>
        <w:rStyle w:val="PageNumber"/>
        <w:rFonts w:cs="Calibri"/>
      </w:rPr>
      <w:instrText xml:space="preserve"> PAGE </w:instrText>
    </w:r>
    <w:r w:rsidR="00954EB1" w:rsidRPr="005D13BB">
      <w:rPr>
        <w:rStyle w:val="PageNumber"/>
        <w:rFonts w:cs="Calibri"/>
      </w:rPr>
      <w:fldChar w:fldCharType="separate"/>
    </w:r>
    <w:r w:rsidR="00D85C80">
      <w:rPr>
        <w:rStyle w:val="PageNumber"/>
        <w:rFonts w:cs="Calibri"/>
        <w:noProof/>
      </w:rPr>
      <w:t>1</w:t>
    </w:r>
    <w:r w:rsidR="00954EB1" w:rsidRPr="005D13BB">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6820" w14:textId="77777777" w:rsidR="00FD0581" w:rsidRDefault="00FD0581">
      <w:r>
        <w:separator/>
      </w:r>
    </w:p>
  </w:footnote>
  <w:footnote w:type="continuationSeparator" w:id="0">
    <w:p w14:paraId="5CB16E92" w14:textId="77777777" w:rsidR="00FD0581" w:rsidRDefault="00FD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EFB"/>
    <w:multiLevelType w:val="singleLevel"/>
    <w:tmpl w:val="50F2EBDA"/>
    <w:lvl w:ilvl="0">
      <w:start w:val="101"/>
      <w:numFmt w:val="decimal"/>
      <w:lvlText w:val="%1."/>
      <w:lvlJc w:val="left"/>
      <w:pPr>
        <w:tabs>
          <w:tab w:val="num" w:pos="720"/>
        </w:tabs>
        <w:ind w:left="720" w:hanging="720"/>
      </w:pPr>
      <w:rPr>
        <w:rFonts w:hint="default"/>
      </w:rPr>
    </w:lvl>
  </w:abstractNum>
  <w:abstractNum w:abstractNumId="1" w15:restartNumberingAfterBreak="0">
    <w:nsid w:val="083751DE"/>
    <w:multiLevelType w:val="hybridMultilevel"/>
    <w:tmpl w:val="66E0F4D6"/>
    <w:lvl w:ilvl="0" w:tplc="16D64ED0">
      <w:start w:val="1"/>
      <w:numFmt w:val="upperRoman"/>
      <w:lvlText w:val="(%1)."/>
      <w:lvlJc w:val="left"/>
      <w:pPr>
        <w:tabs>
          <w:tab w:val="num" w:pos="1080"/>
        </w:tabs>
        <w:ind w:left="720" w:hanging="360"/>
      </w:pPr>
      <w:rPr>
        <w:rFonts w:hint="default"/>
      </w:rPr>
    </w:lvl>
    <w:lvl w:ilvl="1" w:tplc="59E04BD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C2089A"/>
    <w:multiLevelType w:val="hybridMultilevel"/>
    <w:tmpl w:val="580C1BCE"/>
    <w:lvl w:ilvl="0" w:tplc="1326D7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9F2250"/>
    <w:multiLevelType w:val="singleLevel"/>
    <w:tmpl w:val="0E089B18"/>
    <w:lvl w:ilvl="0">
      <w:start w:val="2"/>
      <w:numFmt w:val="lowerRoman"/>
      <w:lvlText w:val="(%1)"/>
      <w:lvlJc w:val="left"/>
      <w:pPr>
        <w:tabs>
          <w:tab w:val="num" w:pos="1444"/>
        </w:tabs>
        <w:ind w:left="1444" w:hanging="735"/>
      </w:pPr>
      <w:rPr>
        <w:rFonts w:hint="default"/>
      </w:rPr>
    </w:lvl>
  </w:abstractNum>
  <w:abstractNum w:abstractNumId="4" w15:restartNumberingAfterBreak="0">
    <w:nsid w:val="125D272E"/>
    <w:multiLevelType w:val="hybridMultilevel"/>
    <w:tmpl w:val="22184F70"/>
    <w:lvl w:ilvl="0" w:tplc="05FAC0FA">
      <w:start w:val="1200"/>
      <w:numFmt w:val="decimal"/>
      <w:lvlText w:val="%1"/>
      <w:lvlJc w:val="left"/>
      <w:pPr>
        <w:tabs>
          <w:tab w:val="num" w:pos="1080"/>
        </w:tabs>
        <w:ind w:left="1080" w:hanging="720"/>
      </w:pPr>
    </w:lvl>
    <w:lvl w:ilvl="1" w:tplc="77BE3B24">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A32F0E"/>
    <w:multiLevelType w:val="hybridMultilevel"/>
    <w:tmpl w:val="EB9C4F62"/>
    <w:lvl w:ilvl="0" w:tplc="1326D70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4301F9"/>
    <w:multiLevelType w:val="singleLevel"/>
    <w:tmpl w:val="C136E4B2"/>
    <w:lvl w:ilvl="0">
      <w:start w:val="3"/>
      <w:numFmt w:val="bullet"/>
      <w:lvlText w:val=""/>
      <w:lvlJc w:val="left"/>
      <w:pPr>
        <w:tabs>
          <w:tab w:val="num" w:pos="1068"/>
        </w:tabs>
        <w:ind w:left="1068" w:hanging="360"/>
      </w:pPr>
      <w:rPr>
        <w:rFonts w:ascii="Symbol" w:hAnsi="Symbol" w:hint="default"/>
      </w:rPr>
    </w:lvl>
  </w:abstractNum>
  <w:abstractNum w:abstractNumId="7" w15:restartNumberingAfterBreak="0">
    <w:nsid w:val="14635B3A"/>
    <w:multiLevelType w:val="hybridMultilevel"/>
    <w:tmpl w:val="FB7E9CB4"/>
    <w:lvl w:ilvl="0" w:tplc="16D64ED0">
      <w:start w:val="1"/>
      <w:numFmt w:val="upp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079F1"/>
    <w:multiLevelType w:val="multilevel"/>
    <w:tmpl w:val="00EA67C4"/>
    <w:lvl w:ilvl="0">
      <w:start w:val="102"/>
      <w:numFmt w:val="decimal"/>
      <w:lvlText w:val="%1."/>
      <w:lvlJc w:val="left"/>
      <w:pPr>
        <w:tabs>
          <w:tab w:val="num" w:pos="945"/>
        </w:tabs>
        <w:ind w:left="945" w:hanging="58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6CF4123"/>
    <w:multiLevelType w:val="hybridMultilevel"/>
    <w:tmpl w:val="5E58F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1274A"/>
    <w:multiLevelType w:val="singleLevel"/>
    <w:tmpl w:val="D6669990"/>
    <w:lvl w:ilvl="0">
      <w:start w:val="4"/>
      <w:numFmt w:val="lowerRoman"/>
      <w:lvlText w:val="(%1)"/>
      <w:lvlJc w:val="left"/>
      <w:pPr>
        <w:tabs>
          <w:tab w:val="num" w:pos="1571"/>
        </w:tabs>
        <w:ind w:left="1571" w:hanging="720"/>
      </w:pPr>
      <w:rPr>
        <w:rFonts w:hint="default"/>
      </w:rPr>
    </w:lvl>
  </w:abstractNum>
  <w:abstractNum w:abstractNumId="11" w15:restartNumberingAfterBreak="0">
    <w:nsid w:val="190D4AAA"/>
    <w:multiLevelType w:val="singleLevel"/>
    <w:tmpl w:val="39F61794"/>
    <w:lvl w:ilvl="0">
      <w:start w:val="4"/>
      <w:numFmt w:val="lowerLetter"/>
      <w:lvlText w:val="(%1)"/>
      <w:lvlJc w:val="left"/>
      <w:pPr>
        <w:tabs>
          <w:tab w:val="num" w:pos="390"/>
        </w:tabs>
        <w:ind w:left="390" w:hanging="390"/>
      </w:pPr>
      <w:rPr>
        <w:rFonts w:hint="default"/>
      </w:rPr>
    </w:lvl>
  </w:abstractNum>
  <w:abstractNum w:abstractNumId="12" w15:restartNumberingAfterBreak="0">
    <w:nsid w:val="1C786611"/>
    <w:multiLevelType w:val="singleLevel"/>
    <w:tmpl w:val="EF9AB01C"/>
    <w:lvl w:ilvl="0">
      <w:start w:val="10"/>
      <w:numFmt w:val="lowerLetter"/>
      <w:lvlText w:val="(%1)"/>
      <w:lvlJc w:val="left"/>
      <w:pPr>
        <w:tabs>
          <w:tab w:val="num" w:pos="375"/>
        </w:tabs>
        <w:ind w:left="375" w:hanging="375"/>
      </w:pPr>
      <w:rPr>
        <w:rFonts w:hint="default"/>
      </w:rPr>
    </w:lvl>
  </w:abstractNum>
  <w:abstractNum w:abstractNumId="13" w15:restartNumberingAfterBreak="0">
    <w:nsid w:val="1CE07AEA"/>
    <w:multiLevelType w:val="hybridMultilevel"/>
    <w:tmpl w:val="1D62A2C4"/>
    <w:lvl w:ilvl="0" w:tplc="16D64ED0">
      <w:start w:val="1"/>
      <w:numFmt w:val="upperRoman"/>
      <w:lvlText w:val="(%1)."/>
      <w:lvlJc w:val="left"/>
      <w:pPr>
        <w:tabs>
          <w:tab w:val="num" w:pos="108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527BB7"/>
    <w:multiLevelType w:val="hybridMultilevel"/>
    <w:tmpl w:val="D38C299E"/>
    <w:lvl w:ilvl="0" w:tplc="DC509932">
      <w:start w:val="1"/>
      <w:numFmt w:val="lowerRoman"/>
      <w:lvlText w:val="(%1)"/>
      <w:lvlJc w:val="left"/>
      <w:pPr>
        <w:ind w:left="27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54E8F"/>
    <w:multiLevelType w:val="hybridMultilevel"/>
    <w:tmpl w:val="E5800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50993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77DC2"/>
    <w:multiLevelType w:val="singleLevel"/>
    <w:tmpl w:val="86BEB9C4"/>
    <w:lvl w:ilvl="0">
      <w:start w:val="1"/>
      <w:numFmt w:val="lowerRoman"/>
      <w:lvlText w:val="(%1)"/>
      <w:lvlJc w:val="left"/>
      <w:pPr>
        <w:tabs>
          <w:tab w:val="num" w:pos="1142"/>
        </w:tabs>
        <w:ind w:left="1142" w:hanging="720"/>
      </w:pPr>
      <w:rPr>
        <w:rFonts w:hint="default"/>
      </w:rPr>
    </w:lvl>
  </w:abstractNum>
  <w:abstractNum w:abstractNumId="17" w15:restartNumberingAfterBreak="0">
    <w:nsid w:val="275F1040"/>
    <w:multiLevelType w:val="hybridMultilevel"/>
    <w:tmpl w:val="00EA67C4"/>
    <w:lvl w:ilvl="0" w:tplc="1AC2F224">
      <w:start w:val="102"/>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3D48AF"/>
    <w:multiLevelType w:val="multilevel"/>
    <w:tmpl w:val="6A0496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none"/>
      <w:lvlText w:val="(i)"/>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19" w15:restartNumberingAfterBreak="0">
    <w:nsid w:val="2EBE75BB"/>
    <w:multiLevelType w:val="multilevel"/>
    <w:tmpl w:val="001A64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0" w15:restartNumberingAfterBreak="0">
    <w:nsid w:val="3AF16027"/>
    <w:multiLevelType w:val="hybridMultilevel"/>
    <w:tmpl w:val="1A4880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36085A"/>
    <w:multiLevelType w:val="singleLevel"/>
    <w:tmpl w:val="258A663A"/>
    <w:lvl w:ilvl="0">
      <w:start w:val="3"/>
      <w:numFmt w:val="lowerLetter"/>
      <w:lvlText w:val="(%1)"/>
      <w:lvlJc w:val="left"/>
      <w:pPr>
        <w:tabs>
          <w:tab w:val="num" w:pos="420"/>
        </w:tabs>
        <w:ind w:left="420" w:hanging="420"/>
      </w:pPr>
      <w:rPr>
        <w:rFonts w:hint="default"/>
      </w:rPr>
    </w:lvl>
  </w:abstractNum>
  <w:abstractNum w:abstractNumId="22" w15:restartNumberingAfterBreak="0">
    <w:nsid w:val="3DC56E1B"/>
    <w:multiLevelType w:val="hybridMultilevel"/>
    <w:tmpl w:val="8EB67D0E"/>
    <w:lvl w:ilvl="0" w:tplc="3620CC6A">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00375DD"/>
    <w:multiLevelType w:val="hybridMultilevel"/>
    <w:tmpl w:val="82EC37B4"/>
    <w:lvl w:ilvl="0" w:tplc="BDBE9EB8">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3D63208"/>
    <w:multiLevelType w:val="hybridMultilevel"/>
    <w:tmpl w:val="4FFE5C4E"/>
    <w:lvl w:ilvl="0" w:tplc="208640CC">
      <w:start w:val="1"/>
      <w:numFmt w:val="lowerLetter"/>
      <w:lvlText w:val="%1."/>
      <w:lvlJc w:val="left"/>
      <w:pPr>
        <w:ind w:left="720" w:hanging="360"/>
      </w:pPr>
      <w:rPr>
        <w:rFonts w:ascii="CommonBullets" w:hAnsi="CommonBullets" w:cs="CommonBulle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16164"/>
    <w:multiLevelType w:val="multilevel"/>
    <w:tmpl w:val="001A64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26" w15:restartNumberingAfterBreak="0">
    <w:nsid w:val="4AA3128C"/>
    <w:multiLevelType w:val="singleLevel"/>
    <w:tmpl w:val="96687FAE"/>
    <w:lvl w:ilvl="0">
      <w:start w:val="12"/>
      <w:numFmt w:val="lowerLetter"/>
      <w:lvlText w:val="(%1)"/>
      <w:lvlJc w:val="left"/>
      <w:pPr>
        <w:tabs>
          <w:tab w:val="num" w:pos="360"/>
        </w:tabs>
        <w:ind w:left="360" w:hanging="360"/>
      </w:pPr>
      <w:rPr>
        <w:rFonts w:hint="default"/>
      </w:rPr>
    </w:lvl>
  </w:abstractNum>
  <w:abstractNum w:abstractNumId="27" w15:restartNumberingAfterBreak="0">
    <w:nsid w:val="4CCB4756"/>
    <w:multiLevelType w:val="hybridMultilevel"/>
    <w:tmpl w:val="D7E642E4"/>
    <w:lvl w:ilvl="0" w:tplc="1326D70A">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553CA8"/>
    <w:multiLevelType w:val="hybridMultilevel"/>
    <w:tmpl w:val="531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C79A7"/>
    <w:multiLevelType w:val="singleLevel"/>
    <w:tmpl w:val="04090013"/>
    <w:lvl w:ilvl="0">
      <w:start w:val="30"/>
      <w:numFmt w:val="upperRoman"/>
      <w:lvlText w:val="%1."/>
      <w:lvlJc w:val="left"/>
      <w:pPr>
        <w:tabs>
          <w:tab w:val="num" w:pos="720"/>
        </w:tabs>
        <w:ind w:left="720" w:hanging="720"/>
      </w:pPr>
      <w:rPr>
        <w:rFonts w:hint="default"/>
      </w:rPr>
    </w:lvl>
  </w:abstractNum>
  <w:abstractNum w:abstractNumId="30" w15:restartNumberingAfterBreak="0">
    <w:nsid w:val="51501F95"/>
    <w:multiLevelType w:val="singleLevel"/>
    <w:tmpl w:val="AC4687D0"/>
    <w:lvl w:ilvl="0">
      <w:start w:val="14"/>
      <w:numFmt w:val="lowerLetter"/>
      <w:lvlText w:val="(%1)"/>
      <w:lvlJc w:val="left"/>
      <w:pPr>
        <w:tabs>
          <w:tab w:val="num" w:pos="720"/>
        </w:tabs>
        <w:ind w:left="720" w:hanging="720"/>
      </w:pPr>
      <w:rPr>
        <w:rFonts w:hint="default"/>
      </w:rPr>
    </w:lvl>
  </w:abstractNum>
  <w:abstractNum w:abstractNumId="31" w15:restartNumberingAfterBreak="0">
    <w:nsid w:val="548A7C64"/>
    <w:multiLevelType w:val="singleLevel"/>
    <w:tmpl w:val="9EA24184"/>
    <w:lvl w:ilvl="0">
      <w:start w:val="3"/>
      <w:numFmt w:val="lowerLetter"/>
      <w:lvlText w:val="(%1)"/>
      <w:lvlJc w:val="left"/>
      <w:pPr>
        <w:tabs>
          <w:tab w:val="num" w:pos="375"/>
        </w:tabs>
        <w:ind w:left="375" w:hanging="375"/>
      </w:pPr>
      <w:rPr>
        <w:rFonts w:hint="default"/>
      </w:rPr>
    </w:lvl>
  </w:abstractNum>
  <w:abstractNum w:abstractNumId="32" w15:restartNumberingAfterBreak="0">
    <w:nsid w:val="56F969A8"/>
    <w:multiLevelType w:val="multilevel"/>
    <w:tmpl w:val="F9142BF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numFmt w:val="none"/>
      <w:lvlText w:val=""/>
      <w:lvlJc w:val="left"/>
      <w:pPr>
        <w:tabs>
          <w:tab w:val="num" w:pos="360"/>
        </w:tabs>
      </w:p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3" w15:restartNumberingAfterBreak="0">
    <w:nsid w:val="59945603"/>
    <w:multiLevelType w:val="hybridMultilevel"/>
    <w:tmpl w:val="851CF2E6"/>
    <w:lvl w:ilvl="0" w:tplc="E5C40C72">
      <w:start w:val="1"/>
      <w:numFmt w:val="lowerLetter"/>
      <w:lvlText w:val="(%1)"/>
      <w:lvlJc w:val="left"/>
      <w:pPr>
        <w:ind w:left="765" w:hanging="360"/>
      </w:pPr>
      <w:rPr>
        <w:rFonts w:ascii="Calibri" w:eastAsia="Times New Roman" w:hAnsi="Calibri" w:cs="Calibr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5B896CB5"/>
    <w:multiLevelType w:val="singleLevel"/>
    <w:tmpl w:val="08090019"/>
    <w:lvl w:ilvl="0">
      <w:start w:val="2"/>
      <w:numFmt w:val="lowerLetter"/>
      <w:lvlText w:val="(%1)"/>
      <w:lvlJc w:val="left"/>
      <w:pPr>
        <w:tabs>
          <w:tab w:val="num" w:pos="360"/>
        </w:tabs>
        <w:ind w:left="360" w:hanging="360"/>
      </w:pPr>
      <w:rPr>
        <w:rFonts w:hint="default"/>
      </w:rPr>
    </w:lvl>
  </w:abstractNum>
  <w:abstractNum w:abstractNumId="35" w15:restartNumberingAfterBreak="0">
    <w:nsid w:val="5CAF622F"/>
    <w:multiLevelType w:val="singleLevel"/>
    <w:tmpl w:val="D4EE2C12"/>
    <w:lvl w:ilvl="0">
      <w:start w:val="4"/>
      <w:numFmt w:val="lowerLetter"/>
      <w:lvlText w:val="(%1)"/>
      <w:lvlJc w:val="left"/>
      <w:pPr>
        <w:tabs>
          <w:tab w:val="num" w:pos="1800"/>
        </w:tabs>
        <w:ind w:left="1800" w:hanging="360"/>
      </w:pPr>
      <w:rPr>
        <w:rFonts w:hint="default"/>
      </w:rPr>
    </w:lvl>
  </w:abstractNum>
  <w:abstractNum w:abstractNumId="36" w15:restartNumberingAfterBreak="0">
    <w:nsid w:val="5CDD6480"/>
    <w:multiLevelType w:val="hybridMultilevel"/>
    <w:tmpl w:val="172674B6"/>
    <w:lvl w:ilvl="0" w:tplc="2A683DA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8D87665"/>
    <w:multiLevelType w:val="singleLevel"/>
    <w:tmpl w:val="B1BE38BA"/>
    <w:lvl w:ilvl="0">
      <w:start w:val="16"/>
      <w:numFmt w:val="lowerLetter"/>
      <w:lvlText w:val="(%1)"/>
      <w:lvlJc w:val="left"/>
      <w:pPr>
        <w:tabs>
          <w:tab w:val="num" w:pos="375"/>
        </w:tabs>
        <w:ind w:left="375" w:hanging="375"/>
      </w:pPr>
      <w:rPr>
        <w:rFonts w:hint="default"/>
      </w:rPr>
    </w:lvl>
  </w:abstractNum>
  <w:abstractNum w:abstractNumId="38" w15:restartNumberingAfterBreak="0">
    <w:nsid w:val="69C50097"/>
    <w:multiLevelType w:val="singleLevel"/>
    <w:tmpl w:val="86CA706A"/>
    <w:lvl w:ilvl="0">
      <w:start w:val="4"/>
      <w:numFmt w:val="lowerLetter"/>
      <w:lvlText w:val="(%1)"/>
      <w:lvlJc w:val="left"/>
      <w:pPr>
        <w:tabs>
          <w:tab w:val="num" w:pos="2160"/>
        </w:tabs>
        <w:ind w:left="2160" w:hanging="720"/>
      </w:pPr>
      <w:rPr>
        <w:rFonts w:hint="default"/>
      </w:rPr>
    </w:lvl>
  </w:abstractNum>
  <w:abstractNum w:abstractNumId="39" w15:restartNumberingAfterBreak="0">
    <w:nsid w:val="70F65356"/>
    <w:multiLevelType w:val="hybridMultilevel"/>
    <w:tmpl w:val="72CC57F2"/>
    <w:lvl w:ilvl="0" w:tplc="9C54DE58">
      <w:start w:val="3"/>
      <w:numFmt w:val="lowerRoman"/>
      <w:lvlText w:val="(%1)"/>
      <w:lvlJc w:val="left"/>
      <w:pPr>
        <w:tabs>
          <w:tab w:val="num" w:pos="1080"/>
        </w:tabs>
        <w:ind w:left="1080" w:hanging="720"/>
      </w:pPr>
    </w:lvl>
    <w:lvl w:ilvl="1" w:tplc="08090019">
      <w:start w:val="1"/>
      <w:numFmt w:val="lowerLetter"/>
      <w:lvlText w:val="%2."/>
      <w:lvlJc w:val="left"/>
      <w:pPr>
        <w:tabs>
          <w:tab w:val="num" w:pos="1350"/>
        </w:tabs>
        <w:ind w:left="135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1EE024F"/>
    <w:multiLevelType w:val="hybridMultilevel"/>
    <w:tmpl w:val="6E2040AA"/>
    <w:lvl w:ilvl="0" w:tplc="16D64ED0">
      <w:start w:val="1"/>
      <w:numFmt w:val="upperRoman"/>
      <w:lvlText w:val="(%1)."/>
      <w:lvlJc w:val="left"/>
      <w:pPr>
        <w:tabs>
          <w:tab w:val="num" w:pos="108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8577620"/>
    <w:multiLevelType w:val="hybridMultilevel"/>
    <w:tmpl w:val="16CAA69E"/>
    <w:lvl w:ilvl="0" w:tplc="1326D7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9B573D7"/>
    <w:multiLevelType w:val="singleLevel"/>
    <w:tmpl w:val="04090015"/>
    <w:lvl w:ilvl="0">
      <w:start w:val="1"/>
      <w:numFmt w:val="upperLetter"/>
      <w:lvlText w:val="%1."/>
      <w:lvlJc w:val="left"/>
      <w:pPr>
        <w:tabs>
          <w:tab w:val="num" w:pos="360"/>
        </w:tabs>
        <w:ind w:left="360" w:hanging="360"/>
      </w:pPr>
      <w:rPr>
        <w:rFonts w:hint="default"/>
      </w:rPr>
    </w:lvl>
  </w:abstractNum>
  <w:abstractNum w:abstractNumId="43" w15:restartNumberingAfterBreak="0">
    <w:nsid w:val="7D7A077D"/>
    <w:multiLevelType w:val="hybridMultilevel"/>
    <w:tmpl w:val="FCAAA960"/>
    <w:lvl w:ilvl="0" w:tplc="BE0693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E4673E"/>
    <w:multiLevelType w:val="hybridMultilevel"/>
    <w:tmpl w:val="240892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9"/>
  </w:num>
  <w:num w:numId="3">
    <w:abstractNumId w:val="32"/>
  </w:num>
  <w:num w:numId="4">
    <w:abstractNumId w:val="37"/>
  </w:num>
  <w:num w:numId="5">
    <w:abstractNumId w:val="30"/>
  </w:num>
  <w:num w:numId="6">
    <w:abstractNumId w:val="18"/>
  </w:num>
  <w:num w:numId="7">
    <w:abstractNumId w:val="17"/>
  </w:num>
  <w:num w:numId="8">
    <w:abstractNumId w:val="8"/>
  </w:num>
  <w:num w:numId="9">
    <w:abstractNumId w:val="26"/>
  </w:num>
  <w:num w:numId="10">
    <w:abstractNumId w:val="38"/>
  </w:num>
  <w:num w:numId="11">
    <w:abstractNumId w:val="0"/>
  </w:num>
  <w:num w:numId="12">
    <w:abstractNumId w:val="35"/>
  </w:num>
  <w:num w:numId="13">
    <w:abstractNumId w:val="3"/>
  </w:num>
  <w:num w:numId="14">
    <w:abstractNumId w:val="21"/>
  </w:num>
  <w:num w:numId="15">
    <w:abstractNumId w:val="12"/>
  </w:num>
  <w:num w:numId="16">
    <w:abstractNumId w:val="31"/>
  </w:num>
  <w:num w:numId="17">
    <w:abstractNumId w:val="34"/>
  </w:num>
  <w:num w:numId="18">
    <w:abstractNumId w:val="16"/>
  </w:num>
  <w:num w:numId="19">
    <w:abstractNumId w:val="6"/>
  </w:num>
  <w:num w:numId="20">
    <w:abstractNumId w:val="10"/>
  </w:num>
  <w:num w:numId="21">
    <w:abstractNumId w:val="19"/>
  </w:num>
  <w:num w:numId="22">
    <w:abstractNumId w:val="25"/>
  </w:num>
  <w:num w:numId="23">
    <w:abstractNumId w:val="11"/>
  </w:num>
  <w:num w:numId="24">
    <w:abstractNumId w:val="22"/>
  </w:num>
  <w:num w:numId="25">
    <w:abstractNumId w:val="36"/>
  </w:num>
  <w:num w:numId="26">
    <w:abstractNumId w:val="40"/>
  </w:num>
  <w:num w:numId="27">
    <w:abstractNumId w:val="5"/>
  </w:num>
  <w:num w:numId="28">
    <w:abstractNumId w:val="13"/>
  </w:num>
  <w:num w:numId="29">
    <w:abstractNumId w:val="4"/>
  </w:num>
  <w:num w:numId="30">
    <w:abstractNumId w:val="4"/>
  </w:num>
  <w:num w:numId="31">
    <w:abstractNumId w:val="7"/>
  </w:num>
  <w:num w:numId="32">
    <w:abstractNumId w:val="2"/>
  </w:num>
  <w:num w:numId="33">
    <w:abstractNumId w:val="1"/>
  </w:num>
  <w:num w:numId="34">
    <w:abstractNumId w:val="27"/>
  </w:num>
  <w:num w:numId="35">
    <w:abstractNumId w:val="41"/>
  </w:num>
  <w:num w:numId="36">
    <w:abstractNumId w:val="4"/>
  </w:num>
  <w:num w:numId="37">
    <w:abstractNumId w:val="9"/>
  </w:num>
  <w:num w:numId="38">
    <w:abstractNumId w:val="20"/>
  </w:num>
  <w:num w:numId="39">
    <w:abstractNumId w:val="44"/>
  </w:num>
  <w:num w:numId="40">
    <w:abstractNumId w:val="23"/>
  </w:num>
  <w:num w:numId="4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4"/>
  </w:num>
  <w:num w:numId="44">
    <w:abstractNumId w:val="24"/>
  </w:num>
  <w:num w:numId="45">
    <w:abstractNumId w:val="33"/>
  </w:num>
  <w:num w:numId="46">
    <w:abstractNumId w:val="4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37"/>
    <w:rsid w:val="000003B4"/>
    <w:rsid w:val="000014C6"/>
    <w:rsid w:val="00001A6D"/>
    <w:rsid w:val="00002868"/>
    <w:rsid w:val="00002A0E"/>
    <w:rsid w:val="000075ED"/>
    <w:rsid w:val="0001345A"/>
    <w:rsid w:val="00014E2A"/>
    <w:rsid w:val="000224AB"/>
    <w:rsid w:val="0003014D"/>
    <w:rsid w:val="00043021"/>
    <w:rsid w:val="00051CCB"/>
    <w:rsid w:val="00053053"/>
    <w:rsid w:val="000566AD"/>
    <w:rsid w:val="00057DBB"/>
    <w:rsid w:val="000601ED"/>
    <w:rsid w:val="00064287"/>
    <w:rsid w:val="00073EEA"/>
    <w:rsid w:val="0008109B"/>
    <w:rsid w:val="000961B1"/>
    <w:rsid w:val="00096355"/>
    <w:rsid w:val="00096646"/>
    <w:rsid w:val="00097FEF"/>
    <w:rsid w:val="000A3B7F"/>
    <w:rsid w:val="000A52E8"/>
    <w:rsid w:val="000B5CF1"/>
    <w:rsid w:val="000C3933"/>
    <w:rsid w:val="000C427B"/>
    <w:rsid w:val="000D7211"/>
    <w:rsid w:val="000D7381"/>
    <w:rsid w:val="000E4441"/>
    <w:rsid w:val="000E559B"/>
    <w:rsid w:val="000F49FF"/>
    <w:rsid w:val="001058F6"/>
    <w:rsid w:val="00110201"/>
    <w:rsid w:val="0011239F"/>
    <w:rsid w:val="0012738A"/>
    <w:rsid w:val="001336DD"/>
    <w:rsid w:val="001434D7"/>
    <w:rsid w:val="001474D4"/>
    <w:rsid w:val="00147F6B"/>
    <w:rsid w:val="001576FD"/>
    <w:rsid w:val="001618F1"/>
    <w:rsid w:val="001676E0"/>
    <w:rsid w:val="00170D60"/>
    <w:rsid w:val="00171389"/>
    <w:rsid w:val="001722B2"/>
    <w:rsid w:val="001808C8"/>
    <w:rsid w:val="00185DA1"/>
    <w:rsid w:val="001947A9"/>
    <w:rsid w:val="00196F1F"/>
    <w:rsid w:val="001A050E"/>
    <w:rsid w:val="001A2331"/>
    <w:rsid w:val="001A4C63"/>
    <w:rsid w:val="001B3925"/>
    <w:rsid w:val="001B697A"/>
    <w:rsid w:val="001B6C1B"/>
    <w:rsid w:val="001B71B0"/>
    <w:rsid w:val="001C038C"/>
    <w:rsid w:val="001C4AF1"/>
    <w:rsid w:val="001C6567"/>
    <w:rsid w:val="001D0CCB"/>
    <w:rsid w:val="001F0C4A"/>
    <w:rsid w:val="001F6077"/>
    <w:rsid w:val="00201AAD"/>
    <w:rsid w:val="00204CE2"/>
    <w:rsid w:val="002107F0"/>
    <w:rsid w:val="0021366F"/>
    <w:rsid w:val="00215D62"/>
    <w:rsid w:val="002167A9"/>
    <w:rsid w:val="00220648"/>
    <w:rsid w:val="00225708"/>
    <w:rsid w:val="00231691"/>
    <w:rsid w:val="0023557D"/>
    <w:rsid w:val="002442DA"/>
    <w:rsid w:val="002538C7"/>
    <w:rsid w:val="0025608C"/>
    <w:rsid w:val="00260801"/>
    <w:rsid w:val="00261AC2"/>
    <w:rsid w:val="002673B0"/>
    <w:rsid w:val="00267A4C"/>
    <w:rsid w:val="0027170A"/>
    <w:rsid w:val="002741AB"/>
    <w:rsid w:val="00282112"/>
    <w:rsid w:val="00284AD9"/>
    <w:rsid w:val="002932CA"/>
    <w:rsid w:val="00294F27"/>
    <w:rsid w:val="002A1DE6"/>
    <w:rsid w:val="002A3B07"/>
    <w:rsid w:val="002A6BB4"/>
    <w:rsid w:val="002A74DE"/>
    <w:rsid w:val="002B448D"/>
    <w:rsid w:val="002B4642"/>
    <w:rsid w:val="002C0321"/>
    <w:rsid w:val="002C14AF"/>
    <w:rsid w:val="002C5310"/>
    <w:rsid w:val="002C718C"/>
    <w:rsid w:val="002C7BC3"/>
    <w:rsid w:val="002D1D58"/>
    <w:rsid w:val="002D2189"/>
    <w:rsid w:val="002D3859"/>
    <w:rsid w:val="002D6F6E"/>
    <w:rsid w:val="002E7243"/>
    <w:rsid w:val="002F4431"/>
    <w:rsid w:val="0031144A"/>
    <w:rsid w:val="003122B1"/>
    <w:rsid w:val="00320120"/>
    <w:rsid w:val="00321E39"/>
    <w:rsid w:val="00323E61"/>
    <w:rsid w:val="003409EF"/>
    <w:rsid w:val="003448E6"/>
    <w:rsid w:val="003457EC"/>
    <w:rsid w:val="00346171"/>
    <w:rsid w:val="003509DB"/>
    <w:rsid w:val="00363341"/>
    <w:rsid w:val="003645D3"/>
    <w:rsid w:val="003718E1"/>
    <w:rsid w:val="00372C8C"/>
    <w:rsid w:val="003736E3"/>
    <w:rsid w:val="00380733"/>
    <w:rsid w:val="003954BE"/>
    <w:rsid w:val="003A147B"/>
    <w:rsid w:val="003C0D76"/>
    <w:rsid w:val="003D4DAC"/>
    <w:rsid w:val="004017EF"/>
    <w:rsid w:val="00405100"/>
    <w:rsid w:val="00414CD0"/>
    <w:rsid w:val="004151BF"/>
    <w:rsid w:val="00420539"/>
    <w:rsid w:val="0042056B"/>
    <w:rsid w:val="004241A0"/>
    <w:rsid w:val="004243B4"/>
    <w:rsid w:val="0043666F"/>
    <w:rsid w:val="00442063"/>
    <w:rsid w:val="00444346"/>
    <w:rsid w:val="0044563E"/>
    <w:rsid w:val="00451467"/>
    <w:rsid w:val="00453BFB"/>
    <w:rsid w:val="0046465A"/>
    <w:rsid w:val="00474B1D"/>
    <w:rsid w:val="0047516B"/>
    <w:rsid w:val="0048132E"/>
    <w:rsid w:val="004853E3"/>
    <w:rsid w:val="00497549"/>
    <w:rsid w:val="004A3996"/>
    <w:rsid w:val="004A6F6A"/>
    <w:rsid w:val="004A71C4"/>
    <w:rsid w:val="004B31A0"/>
    <w:rsid w:val="004B4ED5"/>
    <w:rsid w:val="004C35E1"/>
    <w:rsid w:val="004C42A2"/>
    <w:rsid w:val="004C6FF9"/>
    <w:rsid w:val="004D5484"/>
    <w:rsid w:val="004E6555"/>
    <w:rsid w:val="004E6813"/>
    <w:rsid w:val="004F1003"/>
    <w:rsid w:val="004F1746"/>
    <w:rsid w:val="004F66CD"/>
    <w:rsid w:val="005023AD"/>
    <w:rsid w:val="00503D07"/>
    <w:rsid w:val="00504B86"/>
    <w:rsid w:val="00507A18"/>
    <w:rsid w:val="0052177C"/>
    <w:rsid w:val="005238B5"/>
    <w:rsid w:val="0053634F"/>
    <w:rsid w:val="00540BD6"/>
    <w:rsid w:val="005451BB"/>
    <w:rsid w:val="00545E7D"/>
    <w:rsid w:val="00550D32"/>
    <w:rsid w:val="005544DE"/>
    <w:rsid w:val="005578E4"/>
    <w:rsid w:val="0056040C"/>
    <w:rsid w:val="005605FC"/>
    <w:rsid w:val="00561781"/>
    <w:rsid w:val="00561846"/>
    <w:rsid w:val="005678F0"/>
    <w:rsid w:val="00573012"/>
    <w:rsid w:val="005751E5"/>
    <w:rsid w:val="005846ED"/>
    <w:rsid w:val="00593CAE"/>
    <w:rsid w:val="00594965"/>
    <w:rsid w:val="00595568"/>
    <w:rsid w:val="0059585C"/>
    <w:rsid w:val="005958B2"/>
    <w:rsid w:val="005B2178"/>
    <w:rsid w:val="005B3277"/>
    <w:rsid w:val="005B32B2"/>
    <w:rsid w:val="005B4F18"/>
    <w:rsid w:val="005B5905"/>
    <w:rsid w:val="005C22F5"/>
    <w:rsid w:val="005C2E87"/>
    <w:rsid w:val="005C4FA4"/>
    <w:rsid w:val="005D0AF5"/>
    <w:rsid w:val="005D13BB"/>
    <w:rsid w:val="005D1AB8"/>
    <w:rsid w:val="005D7D4E"/>
    <w:rsid w:val="005E058C"/>
    <w:rsid w:val="00600008"/>
    <w:rsid w:val="00607BBD"/>
    <w:rsid w:val="00610E94"/>
    <w:rsid w:val="00621232"/>
    <w:rsid w:val="00622EBF"/>
    <w:rsid w:val="00641CB3"/>
    <w:rsid w:val="00642681"/>
    <w:rsid w:val="00643DAD"/>
    <w:rsid w:val="00646021"/>
    <w:rsid w:val="00647621"/>
    <w:rsid w:val="00647D7C"/>
    <w:rsid w:val="00650604"/>
    <w:rsid w:val="0065427C"/>
    <w:rsid w:val="0065618D"/>
    <w:rsid w:val="00665841"/>
    <w:rsid w:val="00677FCC"/>
    <w:rsid w:val="006827CD"/>
    <w:rsid w:val="006837C5"/>
    <w:rsid w:val="006846F6"/>
    <w:rsid w:val="00684CD4"/>
    <w:rsid w:val="00690DF6"/>
    <w:rsid w:val="0069112F"/>
    <w:rsid w:val="00691541"/>
    <w:rsid w:val="00696EB7"/>
    <w:rsid w:val="006A013B"/>
    <w:rsid w:val="006A160A"/>
    <w:rsid w:val="006A4026"/>
    <w:rsid w:val="006A7F8E"/>
    <w:rsid w:val="006C0879"/>
    <w:rsid w:val="006C0B98"/>
    <w:rsid w:val="006C4E23"/>
    <w:rsid w:val="006C7070"/>
    <w:rsid w:val="006D0A6D"/>
    <w:rsid w:val="006D4D0E"/>
    <w:rsid w:val="006E247E"/>
    <w:rsid w:val="006E29F3"/>
    <w:rsid w:val="00700B91"/>
    <w:rsid w:val="00702D66"/>
    <w:rsid w:val="00704168"/>
    <w:rsid w:val="0070684A"/>
    <w:rsid w:val="00715E0D"/>
    <w:rsid w:val="0072135A"/>
    <w:rsid w:val="0073201B"/>
    <w:rsid w:val="00732EF8"/>
    <w:rsid w:val="007333FE"/>
    <w:rsid w:val="00736F36"/>
    <w:rsid w:val="0074145A"/>
    <w:rsid w:val="00756AF4"/>
    <w:rsid w:val="0076193A"/>
    <w:rsid w:val="00764177"/>
    <w:rsid w:val="00764EE5"/>
    <w:rsid w:val="00770596"/>
    <w:rsid w:val="0078081F"/>
    <w:rsid w:val="00797E59"/>
    <w:rsid w:val="007A3308"/>
    <w:rsid w:val="007A34C3"/>
    <w:rsid w:val="007A5930"/>
    <w:rsid w:val="007B0AC0"/>
    <w:rsid w:val="007C045F"/>
    <w:rsid w:val="007C1135"/>
    <w:rsid w:val="007C503F"/>
    <w:rsid w:val="007D10E8"/>
    <w:rsid w:val="007D7A13"/>
    <w:rsid w:val="007E5E12"/>
    <w:rsid w:val="007E6A5F"/>
    <w:rsid w:val="00804B8E"/>
    <w:rsid w:val="00810EBB"/>
    <w:rsid w:val="00820B6C"/>
    <w:rsid w:val="008236F7"/>
    <w:rsid w:val="00825A3B"/>
    <w:rsid w:val="00833061"/>
    <w:rsid w:val="00835520"/>
    <w:rsid w:val="008408F0"/>
    <w:rsid w:val="00842C2F"/>
    <w:rsid w:val="0084428F"/>
    <w:rsid w:val="00844335"/>
    <w:rsid w:val="00844986"/>
    <w:rsid w:val="00846D65"/>
    <w:rsid w:val="0085159A"/>
    <w:rsid w:val="008522EB"/>
    <w:rsid w:val="008523FC"/>
    <w:rsid w:val="008567B2"/>
    <w:rsid w:val="00857C74"/>
    <w:rsid w:val="00864324"/>
    <w:rsid w:val="00867F1C"/>
    <w:rsid w:val="0087140E"/>
    <w:rsid w:val="00871DA3"/>
    <w:rsid w:val="00874AE6"/>
    <w:rsid w:val="008811A5"/>
    <w:rsid w:val="00884759"/>
    <w:rsid w:val="00890B75"/>
    <w:rsid w:val="0089151C"/>
    <w:rsid w:val="00891C86"/>
    <w:rsid w:val="00891C8F"/>
    <w:rsid w:val="0089233F"/>
    <w:rsid w:val="008927EC"/>
    <w:rsid w:val="008A00DE"/>
    <w:rsid w:val="008A2E9B"/>
    <w:rsid w:val="008A468E"/>
    <w:rsid w:val="008A6130"/>
    <w:rsid w:val="008A6560"/>
    <w:rsid w:val="008B754C"/>
    <w:rsid w:val="008C0E48"/>
    <w:rsid w:val="008C2AE4"/>
    <w:rsid w:val="008C4DB0"/>
    <w:rsid w:val="008D108A"/>
    <w:rsid w:val="008D6B19"/>
    <w:rsid w:val="008E0325"/>
    <w:rsid w:val="008E4D2E"/>
    <w:rsid w:val="008E53FB"/>
    <w:rsid w:val="008F203F"/>
    <w:rsid w:val="008F6912"/>
    <w:rsid w:val="00900B41"/>
    <w:rsid w:val="00905B99"/>
    <w:rsid w:val="00915A32"/>
    <w:rsid w:val="00923F00"/>
    <w:rsid w:val="00931254"/>
    <w:rsid w:val="00933B17"/>
    <w:rsid w:val="00934B6C"/>
    <w:rsid w:val="00940049"/>
    <w:rsid w:val="00942E79"/>
    <w:rsid w:val="00944C9C"/>
    <w:rsid w:val="00944CCB"/>
    <w:rsid w:val="00954EB1"/>
    <w:rsid w:val="00963A8E"/>
    <w:rsid w:val="00976A33"/>
    <w:rsid w:val="00977E8E"/>
    <w:rsid w:val="00982E40"/>
    <w:rsid w:val="00984F5B"/>
    <w:rsid w:val="00993372"/>
    <w:rsid w:val="00993EFE"/>
    <w:rsid w:val="00997D08"/>
    <w:rsid w:val="009A3D01"/>
    <w:rsid w:val="009B0748"/>
    <w:rsid w:val="009B65F8"/>
    <w:rsid w:val="009C7B1B"/>
    <w:rsid w:val="009D0508"/>
    <w:rsid w:val="009E7EDD"/>
    <w:rsid w:val="009F2DAF"/>
    <w:rsid w:val="00A00F76"/>
    <w:rsid w:val="00A04048"/>
    <w:rsid w:val="00A0781C"/>
    <w:rsid w:val="00A15C57"/>
    <w:rsid w:val="00A168B2"/>
    <w:rsid w:val="00A17E20"/>
    <w:rsid w:val="00A209A8"/>
    <w:rsid w:val="00A20DD6"/>
    <w:rsid w:val="00A23615"/>
    <w:rsid w:val="00A273FF"/>
    <w:rsid w:val="00A27D29"/>
    <w:rsid w:val="00A323C8"/>
    <w:rsid w:val="00A42BF2"/>
    <w:rsid w:val="00A4416A"/>
    <w:rsid w:val="00A45C32"/>
    <w:rsid w:val="00A50E86"/>
    <w:rsid w:val="00A52DEA"/>
    <w:rsid w:val="00A572DC"/>
    <w:rsid w:val="00A64314"/>
    <w:rsid w:val="00A66870"/>
    <w:rsid w:val="00A6692C"/>
    <w:rsid w:val="00A72366"/>
    <w:rsid w:val="00A749BF"/>
    <w:rsid w:val="00A753A0"/>
    <w:rsid w:val="00A803CC"/>
    <w:rsid w:val="00A8538D"/>
    <w:rsid w:val="00A8603B"/>
    <w:rsid w:val="00A968BD"/>
    <w:rsid w:val="00AA2DB4"/>
    <w:rsid w:val="00AB1B37"/>
    <w:rsid w:val="00AB5C17"/>
    <w:rsid w:val="00AC3450"/>
    <w:rsid w:val="00AC64FF"/>
    <w:rsid w:val="00AD2BDA"/>
    <w:rsid w:val="00AE3662"/>
    <w:rsid w:val="00AE5C0F"/>
    <w:rsid w:val="00AF1326"/>
    <w:rsid w:val="00AF4141"/>
    <w:rsid w:val="00AF4E84"/>
    <w:rsid w:val="00AF795E"/>
    <w:rsid w:val="00B003A2"/>
    <w:rsid w:val="00B047C4"/>
    <w:rsid w:val="00B1068E"/>
    <w:rsid w:val="00B114A1"/>
    <w:rsid w:val="00B13D7D"/>
    <w:rsid w:val="00B219D6"/>
    <w:rsid w:val="00B225B6"/>
    <w:rsid w:val="00B26D00"/>
    <w:rsid w:val="00B35663"/>
    <w:rsid w:val="00B44994"/>
    <w:rsid w:val="00B466FC"/>
    <w:rsid w:val="00B605A7"/>
    <w:rsid w:val="00B617DA"/>
    <w:rsid w:val="00B640D8"/>
    <w:rsid w:val="00B66B7D"/>
    <w:rsid w:val="00B67E48"/>
    <w:rsid w:val="00B7438B"/>
    <w:rsid w:val="00B80D39"/>
    <w:rsid w:val="00B81EFB"/>
    <w:rsid w:val="00B8332F"/>
    <w:rsid w:val="00B876F2"/>
    <w:rsid w:val="00B912B2"/>
    <w:rsid w:val="00B939D0"/>
    <w:rsid w:val="00B949FB"/>
    <w:rsid w:val="00BA0CD6"/>
    <w:rsid w:val="00BA20E3"/>
    <w:rsid w:val="00BA2CCC"/>
    <w:rsid w:val="00BB02D8"/>
    <w:rsid w:val="00BB262F"/>
    <w:rsid w:val="00BB6137"/>
    <w:rsid w:val="00BD4D70"/>
    <w:rsid w:val="00BE322D"/>
    <w:rsid w:val="00BE5F1B"/>
    <w:rsid w:val="00BE7159"/>
    <w:rsid w:val="00BF3F5E"/>
    <w:rsid w:val="00C069C8"/>
    <w:rsid w:val="00C12D88"/>
    <w:rsid w:val="00C20E06"/>
    <w:rsid w:val="00C2254D"/>
    <w:rsid w:val="00C26EFD"/>
    <w:rsid w:val="00C27899"/>
    <w:rsid w:val="00C30C07"/>
    <w:rsid w:val="00C36A4A"/>
    <w:rsid w:val="00C43860"/>
    <w:rsid w:val="00C45BE3"/>
    <w:rsid w:val="00C52217"/>
    <w:rsid w:val="00C625B6"/>
    <w:rsid w:val="00C62E93"/>
    <w:rsid w:val="00C72973"/>
    <w:rsid w:val="00C73203"/>
    <w:rsid w:val="00C76C09"/>
    <w:rsid w:val="00C84BC2"/>
    <w:rsid w:val="00C85806"/>
    <w:rsid w:val="00C91582"/>
    <w:rsid w:val="00C924DB"/>
    <w:rsid w:val="00C96500"/>
    <w:rsid w:val="00CA62CC"/>
    <w:rsid w:val="00CB3998"/>
    <w:rsid w:val="00CC12DD"/>
    <w:rsid w:val="00CC2FEF"/>
    <w:rsid w:val="00CC304B"/>
    <w:rsid w:val="00CC3616"/>
    <w:rsid w:val="00CD064A"/>
    <w:rsid w:val="00CD07A2"/>
    <w:rsid w:val="00CD114B"/>
    <w:rsid w:val="00CD6213"/>
    <w:rsid w:val="00CD78E6"/>
    <w:rsid w:val="00CE17E0"/>
    <w:rsid w:val="00CE4269"/>
    <w:rsid w:val="00CE762A"/>
    <w:rsid w:val="00CF0163"/>
    <w:rsid w:val="00CF0385"/>
    <w:rsid w:val="00CF7DB9"/>
    <w:rsid w:val="00D0292B"/>
    <w:rsid w:val="00D04193"/>
    <w:rsid w:val="00D0524E"/>
    <w:rsid w:val="00D1464F"/>
    <w:rsid w:val="00D15177"/>
    <w:rsid w:val="00D174CC"/>
    <w:rsid w:val="00D21BFA"/>
    <w:rsid w:val="00D21CA3"/>
    <w:rsid w:val="00D27EBE"/>
    <w:rsid w:val="00D3076E"/>
    <w:rsid w:val="00D31A7A"/>
    <w:rsid w:val="00D3631A"/>
    <w:rsid w:val="00D42A6D"/>
    <w:rsid w:val="00D45BD3"/>
    <w:rsid w:val="00D53414"/>
    <w:rsid w:val="00D606FE"/>
    <w:rsid w:val="00D62566"/>
    <w:rsid w:val="00D6483B"/>
    <w:rsid w:val="00D655D5"/>
    <w:rsid w:val="00D66863"/>
    <w:rsid w:val="00D706AE"/>
    <w:rsid w:val="00D76CC5"/>
    <w:rsid w:val="00D828E3"/>
    <w:rsid w:val="00D84882"/>
    <w:rsid w:val="00D85C80"/>
    <w:rsid w:val="00D86A15"/>
    <w:rsid w:val="00DA0AC0"/>
    <w:rsid w:val="00DA1CCB"/>
    <w:rsid w:val="00DB0DC6"/>
    <w:rsid w:val="00DB4D25"/>
    <w:rsid w:val="00DB69B7"/>
    <w:rsid w:val="00DC35C9"/>
    <w:rsid w:val="00DC4E92"/>
    <w:rsid w:val="00DC5E5F"/>
    <w:rsid w:val="00DD2DD1"/>
    <w:rsid w:val="00DD771B"/>
    <w:rsid w:val="00DE373E"/>
    <w:rsid w:val="00DE387F"/>
    <w:rsid w:val="00DE4CE7"/>
    <w:rsid w:val="00DF4057"/>
    <w:rsid w:val="00E0557D"/>
    <w:rsid w:val="00E076D9"/>
    <w:rsid w:val="00E14D39"/>
    <w:rsid w:val="00E22F5F"/>
    <w:rsid w:val="00E25BA2"/>
    <w:rsid w:val="00E32158"/>
    <w:rsid w:val="00E340C0"/>
    <w:rsid w:val="00E4331E"/>
    <w:rsid w:val="00E50FA4"/>
    <w:rsid w:val="00E61D07"/>
    <w:rsid w:val="00E70AF4"/>
    <w:rsid w:val="00E720CD"/>
    <w:rsid w:val="00E72B35"/>
    <w:rsid w:val="00E72B98"/>
    <w:rsid w:val="00E7489B"/>
    <w:rsid w:val="00E7765A"/>
    <w:rsid w:val="00E82526"/>
    <w:rsid w:val="00E865A7"/>
    <w:rsid w:val="00E97E4B"/>
    <w:rsid w:val="00EA024B"/>
    <w:rsid w:val="00EB22AD"/>
    <w:rsid w:val="00EB6C32"/>
    <w:rsid w:val="00EC3876"/>
    <w:rsid w:val="00EC41E8"/>
    <w:rsid w:val="00EC6249"/>
    <w:rsid w:val="00ED0753"/>
    <w:rsid w:val="00EE0397"/>
    <w:rsid w:val="00EE67F0"/>
    <w:rsid w:val="00EF1327"/>
    <w:rsid w:val="00F0448E"/>
    <w:rsid w:val="00F06644"/>
    <w:rsid w:val="00F06BE1"/>
    <w:rsid w:val="00F06C86"/>
    <w:rsid w:val="00F123C0"/>
    <w:rsid w:val="00F152CC"/>
    <w:rsid w:val="00F178B0"/>
    <w:rsid w:val="00F2077E"/>
    <w:rsid w:val="00F25199"/>
    <w:rsid w:val="00F278DF"/>
    <w:rsid w:val="00F47E7D"/>
    <w:rsid w:val="00F53036"/>
    <w:rsid w:val="00F53F92"/>
    <w:rsid w:val="00F54A81"/>
    <w:rsid w:val="00F639BF"/>
    <w:rsid w:val="00F653C3"/>
    <w:rsid w:val="00F71606"/>
    <w:rsid w:val="00F71C8F"/>
    <w:rsid w:val="00F82119"/>
    <w:rsid w:val="00F82C6A"/>
    <w:rsid w:val="00F8313D"/>
    <w:rsid w:val="00F84EE2"/>
    <w:rsid w:val="00F85278"/>
    <w:rsid w:val="00F87523"/>
    <w:rsid w:val="00F922DB"/>
    <w:rsid w:val="00F93F3B"/>
    <w:rsid w:val="00F96DFA"/>
    <w:rsid w:val="00FA22A3"/>
    <w:rsid w:val="00FA510D"/>
    <w:rsid w:val="00FB11E0"/>
    <w:rsid w:val="00FB1872"/>
    <w:rsid w:val="00FB43C1"/>
    <w:rsid w:val="00FC03DA"/>
    <w:rsid w:val="00FC49F6"/>
    <w:rsid w:val="00FC56C8"/>
    <w:rsid w:val="00FC7C5E"/>
    <w:rsid w:val="00FD0581"/>
    <w:rsid w:val="00FD17AF"/>
    <w:rsid w:val="00FE40AC"/>
    <w:rsid w:val="00FE4844"/>
    <w:rsid w:val="00FF0D68"/>
    <w:rsid w:val="00FF3327"/>
    <w:rsid w:val="00FF3E48"/>
    <w:rsid w:val="00FF73B3"/>
    <w:rsid w:val="00FF7482"/>
    <w:rsid w:val="00FF77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C7F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771B"/>
  </w:style>
  <w:style w:type="paragraph" w:styleId="Heading1">
    <w:name w:val="heading 1"/>
    <w:basedOn w:val="Normal"/>
    <w:next w:val="Normal"/>
    <w:qFormat/>
    <w:rsid w:val="00D53414"/>
    <w:pPr>
      <w:keepNext/>
      <w:widowControl w:val="0"/>
      <w:tabs>
        <w:tab w:val="left" w:pos="204"/>
      </w:tabs>
      <w:outlineLvl w:val="0"/>
    </w:pPr>
    <w:rPr>
      <w:rFonts w:ascii="Arial" w:hAnsi="Arial"/>
      <w:b/>
      <w:snapToGrid w:val="0"/>
      <w:sz w:val="24"/>
    </w:rPr>
  </w:style>
  <w:style w:type="paragraph" w:styleId="Heading2">
    <w:name w:val="heading 2"/>
    <w:basedOn w:val="Normal"/>
    <w:next w:val="Normal"/>
    <w:qFormat/>
    <w:rsid w:val="00D53414"/>
    <w:pPr>
      <w:keepNext/>
      <w:widowControl w:val="0"/>
      <w:ind w:left="720" w:hanging="720"/>
      <w:outlineLvl w:val="1"/>
    </w:pPr>
    <w:rPr>
      <w:rFonts w:ascii="Arial" w:hAnsi="Arial"/>
      <w:b/>
      <w:snapToGrid w:val="0"/>
      <w:sz w:val="24"/>
    </w:rPr>
  </w:style>
  <w:style w:type="paragraph" w:styleId="Heading3">
    <w:name w:val="heading 3"/>
    <w:basedOn w:val="Normal"/>
    <w:next w:val="Normal"/>
    <w:qFormat/>
    <w:rsid w:val="00D53414"/>
    <w:pPr>
      <w:keepNext/>
      <w:widowControl w:val="0"/>
      <w:ind w:left="720" w:hanging="720"/>
      <w:outlineLvl w:val="2"/>
    </w:pPr>
    <w:rPr>
      <w:rFonts w:ascii="Arial" w:hAnsi="Arial"/>
      <w:b/>
      <w:snapToGrid w:val="0"/>
      <w:sz w:val="24"/>
    </w:rPr>
  </w:style>
  <w:style w:type="paragraph" w:styleId="Heading4">
    <w:name w:val="heading 4"/>
    <w:basedOn w:val="Normal"/>
    <w:next w:val="Normal"/>
    <w:qFormat/>
    <w:rsid w:val="00D53414"/>
    <w:pPr>
      <w:keepNext/>
      <w:widowControl w:val="0"/>
      <w:ind w:left="720" w:hanging="720"/>
      <w:outlineLvl w:val="3"/>
    </w:pPr>
    <w:rPr>
      <w:rFonts w:ascii="Arial" w:hAnsi="Arial"/>
      <w:b/>
      <w:snapToGrid w:val="0"/>
      <w:sz w:val="24"/>
    </w:rPr>
  </w:style>
  <w:style w:type="paragraph" w:styleId="Heading5">
    <w:name w:val="heading 5"/>
    <w:basedOn w:val="Normal"/>
    <w:next w:val="Normal"/>
    <w:qFormat/>
    <w:rsid w:val="00D53414"/>
    <w:pPr>
      <w:keepNext/>
      <w:ind w:left="360" w:hanging="360"/>
      <w:jc w:val="center"/>
      <w:outlineLvl w:val="4"/>
    </w:pPr>
    <w:rPr>
      <w:rFonts w:ascii="Arial" w:hAnsi="Arial" w:cs="Arial"/>
      <w:bCs/>
      <w:i/>
      <w:iCs/>
      <w:snapToGrid w:val="0"/>
      <w:sz w:val="16"/>
    </w:rPr>
  </w:style>
  <w:style w:type="paragraph" w:styleId="Heading6">
    <w:name w:val="heading 6"/>
    <w:basedOn w:val="Normal"/>
    <w:next w:val="Normal"/>
    <w:qFormat/>
    <w:rsid w:val="00D53414"/>
    <w:pPr>
      <w:keepNext/>
      <w:tabs>
        <w:tab w:val="right" w:pos="4320"/>
      </w:tabs>
      <w:ind w:left="2880" w:hanging="360"/>
      <w:outlineLvl w:val="5"/>
    </w:pPr>
    <w:rPr>
      <w:rFonts w:ascii="Arial" w:hAnsi="Arial" w:cs="Arial"/>
      <w:bCs/>
      <w:i/>
      <w:iCs/>
      <w:snapToGrid w:val="0"/>
      <w:color w:val="0000FF"/>
      <w:sz w:val="16"/>
    </w:rPr>
  </w:style>
  <w:style w:type="paragraph" w:styleId="Heading7">
    <w:name w:val="heading 7"/>
    <w:basedOn w:val="Normal"/>
    <w:next w:val="Normal"/>
    <w:qFormat/>
    <w:rsid w:val="00D53414"/>
    <w:pPr>
      <w:keepNext/>
      <w:tabs>
        <w:tab w:val="left" w:pos="3600"/>
      </w:tabs>
      <w:ind w:left="2520" w:hanging="360"/>
      <w:outlineLvl w:val="6"/>
    </w:pPr>
    <w:rPr>
      <w:rFonts w:ascii="Arial" w:hAnsi="Arial" w:cs="Arial"/>
      <w:bCs/>
      <w:i/>
      <w:iCs/>
      <w:snapToGrid w:val="0"/>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3414"/>
    <w:rPr>
      <w:rFonts w:ascii="Arial" w:hAnsi="Arial"/>
      <w:sz w:val="24"/>
    </w:rPr>
  </w:style>
  <w:style w:type="paragraph" w:styleId="BodyTextIndent2">
    <w:name w:val="Body Text Indent 2"/>
    <w:basedOn w:val="Normal"/>
    <w:rsid w:val="00D53414"/>
    <w:pPr>
      <w:widowControl w:val="0"/>
      <w:ind w:left="720"/>
    </w:pPr>
    <w:rPr>
      <w:rFonts w:ascii="Arial" w:hAnsi="Arial"/>
      <w:snapToGrid w:val="0"/>
      <w:sz w:val="24"/>
    </w:rPr>
  </w:style>
  <w:style w:type="paragraph" w:styleId="BodyTextIndent">
    <w:name w:val="Body Text Indent"/>
    <w:basedOn w:val="Normal"/>
    <w:rsid w:val="00D53414"/>
    <w:pPr>
      <w:widowControl w:val="0"/>
      <w:ind w:left="567" w:hanging="567"/>
    </w:pPr>
    <w:rPr>
      <w:rFonts w:ascii="Arial" w:hAnsi="Arial"/>
      <w:snapToGrid w:val="0"/>
      <w:sz w:val="24"/>
    </w:rPr>
  </w:style>
  <w:style w:type="paragraph" w:styleId="Header">
    <w:name w:val="header"/>
    <w:basedOn w:val="Normal"/>
    <w:rsid w:val="00D53414"/>
    <w:pPr>
      <w:tabs>
        <w:tab w:val="center" w:pos="4320"/>
        <w:tab w:val="right" w:pos="8640"/>
      </w:tabs>
    </w:pPr>
  </w:style>
  <w:style w:type="paragraph" w:styleId="Footer">
    <w:name w:val="footer"/>
    <w:basedOn w:val="Normal"/>
    <w:rsid w:val="00204CE2"/>
    <w:pPr>
      <w:tabs>
        <w:tab w:val="center" w:pos="4320"/>
        <w:tab w:val="right" w:pos="8640"/>
      </w:tabs>
    </w:pPr>
    <w:rPr>
      <w:rFonts w:ascii="Calibri" w:hAnsi="Calibri"/>
      <w:sz w:val="16"/>
    </w:rPr>
  </w:style>
  <w:style w:type="character" w:styleId="PageNumber">
    <w:name w:val="page number"/>
    <w:rsid w:val="00204CE2"/>
    <w:rPr>
      <w:rFonts w:ascii="Calibri" w:hAnsi="Calibri"/>
      <w:sz w:val="16"/>
    </w:rPr>
  </w:style>
  <w:style w:type="paragraph" w:styleId="BodyText2">
    <w:name w:val="Body Text 2"/>
    <w:basedOn w:val="Normal"/>
    <w:rsid w:val="00D53414"/>
    <w:pPr>
      <w:widowControl w:val="0"/>
    </w:pPr>
    <w:rPr>
      <w:rFonts w:ascii="Arial" w:hAnsi="Arial"/>
      <w:snapToGrid w:val="0"/>
      <w:sz w:val="24"/>
    </w:rPr>
  </w:style>
  <w:style w:type="paragraph" w:styleId="BodyTextIndent3">
    <w:name w:val="Body Text Indent 3"/>
    <w:basedOn w:val="Normal"/>
    <w:link w:val="BodyTextIndent3Char"/>
    <w:rsid w:val="00D53414"/>
    <w:pPr>
      <w:widowControl w:val="0"/>
      <w:ind w:left="1560" w:hanging="851"/>
      <w:jc w:val="both"/>
    </w:pPr>
    <w:rPr>
      <w:rFonts w:ascii="Arial" w:hAnsi="Arial"/>
      <w:snapToGrid w:val="0"/>
      <w:sz w:val="24"/>
    </w:rPr>
  </w:style>
  <w:style w:type="character" w:styleId="Hyperlink">
    <w:name w:val="Hyperlink"/>
    <w:rsid w:val="00D53414"/>
    <w:rPr>
      <w:color w:val="0000FF"/>
      <w:u w:val="single"/>
    </w:rPr>
  </w:style>
  <w:style w:type="paragraph" w:customStyle="1" w:styleId="xl24">
    <w:name w:val="xl24"/>
    <w:basedOn w:val="Normal"/>
    <w:rsid w:val="00D53414"/>
    <w:pPr>
      <w:spacing w:before="100" w:beforeAutospacing="1" w:after="100" w:afterAutospacing="1"/>
    </w:pPr>
    <w:rPr>
      <w:rFonts w:ascii="Arial" w:hAnsi="Arial" w:cs="Arial"/>
      <w:sz w:val="16"/>
      <w:szCs w:val="16"/>
      <w:lang w:val="en-GB"/>
    </w:rPr>
  </w:style>
  <w:style w:type="paragraph" w:styleId="BodyText3">
    <w:name w:val="Body Text 3"/>
    <w:basedOn w:val="Normal"/>
    <w:rsid w:val="00D53414"/>
    <w:rPr>
      <w:rFonts w:ascii="Arial" w:hAnsi="Arial" w:cs="Arial"/>
      <w:i/>
      <w:iCs/>
      <w:color w:val="0000FF"/>
      <w:sz w:val="16"/>
    </w:rPr>
  </w:style>
  <w:style w:type="character" w:styleId="CommentReference">
    <w:name w:val="annotation reference"/>
    <w:semiHidden/>
    <w:rsid w:val="00844335"/>
    <w:rPr>
      <w:sz w:val="16"/>
      <w:szCs w:val="16"/>
    </w:rPr>
  </w:style>
  <w:style w:type="paragraph" w:styleId="CommentText">
    <w:name w:val="annotation text"/>
    <w:basedOn w:val="Normal"/>
    <w:semiHidden/>
    <w:rsid w:val="00844335"/>
  </w:style>
  <w:style w:type="paragraph" w:styleId="CommentSubject">
    <w:name w:val="annotation subject"/>
    <w:basedOn w:val="CommentText"/>
    <w:next w:val="CommentText"/>
    <w:semiHidden/>
    <w:rsid w:val="00844335"/>
    <w:rPr>
      <w:b/>
      <w:bCs/>
    </w:rPr>
  </w:style>
  <w:style w:type="paragraph" w:styleId="BalloonText">
    <w:name w:val="Balloon Text"/>
    <w:basedOn w:val="Normal"/>
    <w:semiHidden/>
    <w:rsid w:val="00844335"/>
    <w:rPr>
      <w:rFonts w:ascii="Tahoma" w:hAnsi="Tahoma" w:cs="Tahoma"/>
      <w:sz w:val="16"/>
      <w:szCs w:val="16"/>
    </w:rPr>
  </w:style>
  <w:style w:type="table" w:styleId="TableGrid">
    <w:name w:val="Table Grid"/>
    <w:basedOn w:val="TableNormal"/>
    <w:rsid w:val="004E6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11">
    <w:name w:val="EmailStyle311"/>
    <w:semiHidden/>
    <w:rsid w:val="005605FC"/>
    <w:rPr>
      <w:rFonts w:ascii="Arial" w:hAnsi="Arial" w:cs="Arial"/>
      <w:color w:val="auto"/>
      <w:sz w:val="20"/>
      <w:szCs w:val="20"/>
    </w:rPr>
  </w:style>
  <w:style w:type="character" w:styleId="Strong">
    <w:name w:val="Strong"/>
    <w:qFormat/>
    <w:rsid w:val="00BA2CCC"/>
    <w:rPr>
      <w:b/>
      <w:bCs/>
    </w:rPr>
  </w:style>
  <w:style w:type="paragraph" w:customStyle="1" w:styleId="Table">
    <w:name w:val="Table"/>
    <w:basedOn w:val="Normal"/>
    <w:link w:val="TableChar"/>
    <w:qFormat/>
    <w:rsid w:val="00677FCC"/>
    <w:pPr>
      <w:ind w:left="6"/>
    </w:pPr>
    <w:rPr>
      <w:rFonts w:ascii="Calibri" w:eastAsia="Times" w:hAnsi="Calibri"/>
      <w:sz w:val="22"/>
      <w:lang w:val="en-GB"/>
    </w:rPr>
  </w:style>
  <w:style w:type="character" w:customStyle="1" w:styleId="TableChar">
    <w:name w:val="Table Char"/>
    <w:link w:val="Table"/>
    <w:rsid w:val="00677FCC"/>
    <w:rPr>
      <w:rFonts w:ascii="Calibri" w:eastAsia="Times" w:hAnsi="Calibri"/>
      <w:sz w:val="22"/>
      <w:lang w:val="en-GB" w:eastAsia="en-US" w:bidi="ar-SA"/>
    </w:rPr>
  </w:style>
  <w:style w:type="paragraph" w:customStyle="1" w:styleId="GTitle">
    <w:name w:val="GTitle"/>
    <w:basedOn w:val="Normal"/>
    <w:next w:val="Normal"/>
    <w:rsid w:val="00196F1F"/>
    <w:pPr>
      <w:jc w:val="center"/>
    </w:pPr>
    <w:rPr>
      <w:rFonts w:ascii="Calibri" w:eastAsia="Times" w:hAnsi="Calibri"/>
      <w:b/>
      <w:sz w:val="32"/>
      <w:lang w:val="en-GB"/>
    </w:rPr>
  </w:style>
  <w:style w:type="paragraph" w:styleId="Title">
    <w:name w:val="Title"/>
    <w:basedOn w:val="Normal"/>
    <w:next w:val="Normal"/>
    <w:link w:val="TitleChar"/>
    <w:uiPriority w:val="10"/>
    <w:qFormat/>
    <w:rsid w:val="00196F1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196F1F"/>
    <w:rPr>
      <w:rFonts w:ascii="Cambria" w:eastAsia="SimSun" w:hAnsi="Cambria"/>
      <w:b/>
      <w:bCs/>
      <w:kern w:val="28"/>
      <w:sz w:val="32"/>
      <w:szCs w:val="32"/>
      <w:lang w:val="en-US" w:eastAsia="en-US"/>
    </w:rPr>
  </w:style>
  <w:style w:type="paragraph" w:styleId="Subtitle">
    <w:name w:val="Subtitle"/>
    <w:basedOn w:val="Normal"/>
    <w:next w:val="Normal"/>
    <w:link w:val="SubtitleChar"/>
    <w:uiPriority w:val="11"/>
    <w:qFormat/>
    <w:rsid w:val="00196F1F"/>
    <w:pPr>
      <w:spacing w:after="60"/>
      <w:jc w:val="center"/>
      <w:outlineLvl w:val="1"/>
    </w:pPr>
    <w:rPr>
      <w:rFonts w:ascii="Cambria" w:eastAsia="SimSun" w:hAnsi="Cambria"/>
      <w:sz w:val="24"/>
      <w:szCs w:val="24"/>
    </w:rPr>
  </w:style>
  <w:style w:type="character" w:customStyle="1" w:styleId="SubtitleChar">
    <w:name w:val="Subtitle Char"/>
    <w:link w:val="Subtitle"/>
    <w:uiPriority w:val="11"/>
    <w:rsid w:val="00196F1F"/>
    <w:rPr>
      <w:rFonts w:ascii="Cambria" w:eastAsia="SimSun" w:hAnsi="Cambria"/>
      <w:sz w:val="24"/>
      <w:szCs w:val="24"/>
      <w:lang w:val="en-US" w:eastAsia="en-US"/>
    </w:rPr>
  </w:style>
  <w:style w:type="paragraph" w:customStyle="1" w:styleId="Default">
    <w:name w:val="Default"/>
    <w:basedOn w:val="Normal"/>
    <w:rsid w:val="00294F27"/>
    <w:pPr>
      <w:autoSpaceDE w:val="0"/>
      <w:autoSpaceDN w:val="0"/>
    </w:pPr>
    <w:rPr>
      <w:rFonts w:ascii="Calibri" w:hAnsi="Calibri" w:cs="Arial"/>
      <w:color w:val="000000"/>
      <w:sz w:val="24"/>
      <w:szCs w:val="24"/>
      <w:lang w:val="en-GB" w:eastAsia="en-GB"/>
    </w:rPr>
  </w:style>
  <w:style w:type="character" w:customStyle="1" w:styleId="BodyTextIndent3Char">
    <w:name w:val="Body Text Indent 3 Char"/>
    <w:link w:val="BodyTextIndent3"/>
    <w:rsid w:val="00F82119"/>
    <w:rPr>
      <w:rFonts w:ascii="Arial" w:hAnsi="Arial"/>
      <w:snapToGrid w:val="0"/>
      <w:sz w:val="24"/>
    </w:rPr>
  </w:style>
  <w:style w:type="paragraph" w:styleId="ListParagraph">
    <w:name w:val="List Paragraph"/>
    <w:basedOn w:val="Normal"/>
    <w:uiPriority w:val="34"/>
    <w:qFormat/>
    <w:rsid w:val="00051CCB"/>
    <w:pPr>
      <w:spacing w:after="200" w:line="276" w:lineRule="auto"/>
      <w:ind w:left="720"/>
    </w:pPr>
    <w:rPr>
      <w:rFonts w:ascii="Calibri" w:hAnsi="Calibri"/>
      <w:sz w:val="22"/>
      <w:szCs w:val="22"/>
      <w:lang w:val="en-GB"/>
    </w:rPr>
  </w:style>
  <w:style w:type="paragraph" w:styleId="NormalWeb">
    <w:name w:val="Normal (Web)"/>
    <w:basedOn w:val="Normal"/>
    <w:uiPriority w:val="99"/>
    <w:semiHidden/>
    <w:unhideWhenUsed/>
    <w:rsid w:val="00842C2F"/>
    <w:rPr>
      <w:rFonts w:eastAsia="Calibri"/>
      <w:sz w:val="24"/>
      <w:szCs w:val="24"/>
      <w:lang w:val="en-GB" w:eastAsia="en-GB"/>
    </w:rPr>
  </w:style>
  <w:style w:type="paragraph" w:styleId="Index1">
    <w:name w:val="index 1"/>
    <w:basedOn w:val="Normal"/>
    <w:next w:val="Normal"/>
    <w:autoRedefine/>
    <w:unhideWhenUsed/>
    <w:rsid w:val="000224AB"/>
    <w:pPr>
      <w:ind w:left="200" w:hanging="200"/>
    </w:pPr>
  </w:style>
  <w:style w:type="paragraph" w:styleId="Index2">
    <w:name w:val="index 2"/>
    <w:basedOn w:val="Normal"/>
    <w:next w:val="Normal"/>
    <w:autoRedefine/>
    <w:unhideWhenUsed/>
    <w:rsid w:val="000224AB"/>
    <w:pPr>
      <w:ind w:left="400" w:hanging="200"/>
    </w:pPr>
  </w:style>
  <w:style w:type="paragraph" w:styleId="Index3">
    <w:name w:val="index 3"/>
    <w:basedOn w:val="Normal"/>
    <w:next w:val="Normal"/>
    <w:autoRedefine/>
    <w:unhideWhenUsed/>
    <w:rsid w:val="000224AB"/>
    <w:pPr>
      <w:ind w:left="600" w:hanging="200"/>
    </w:pPr>
  </w:style>
  <w:style w:type="paragraph" w:styleId="Index4">
    <w:name w:val="index 4"/>
    <w:basedOn w:val="Normal"/>
    <w:next w:val="Normal"/>
    <w:autoRedefine/>
    <w:unhideWhenUsed/>
    <w:rsid w:val="000224AB"/>
    <w:pPr>
      <w:ind w:left="800" w:hanging="200"/>
    </w:pPr>
  </w:style>
  <w:style w:type="paragraph" w:styleId="Index5">
    <w:name w:val="index 5"/>
    <w:basedOn w:val="Normal"/>
    <w:next w:val="Normal"/>
    <w:autoRedefine/>
    <w:unhideWhenUsed/>
    <w:rsid w:val="000224AB"/>
    <w:pPr>
      <w:ind w:left="1000" w:hanging="200"/>
    </w:pPr>
  </w:style>
  <w:style w:type="paragraph" w:styleId="Index6">
    <w:name w:val="index 6"/>
    <w:basedOn w:val="Normal"/>
    <w:next w:val="Normal"/>
    <w:autoRedefine/>
    <w:unhideWhenUsed/>
    <w:rsid w:val="000224AB"/>
    <w:pPr>
      <w:ind w:left="1200" w:hanging="200"/>
    </w:pPr>
  </w:style>
  <w:style w:type="paragraph" w:styleId="Index7">
    <w:name w:val="index 7"/>
    <w:basedOn w:val="Normal"/>
    <w:next w:val="Normal"/>
    <w:autoRedefine/>
    <w:unhideWhenUsed/>
    <w:rsid w:val="000224AB"/>
    <w:pPr>
      <w:ind w:left="1400" w:hanging="200"/>
    </w:pPr>
  </w:style>
  <w:style w:type="paragraph" w:styleId="Index8">
    <w:name w:val="index 8"/>
    <w:basedOn w:val="Normal"/>
    <w:next w:val="Normal"/>
    <w:autoRedefine/>
    <w:unhideWhenUsed/>
    <w:rsid w:val="000224AB"/>
    <w:pPr>
      <w:ind w:left="1600" w:hanging="200"/>
    </w:pPr>
  </w:style>
  <w:style w:type="paragraph" w:styleId="Index9">
    <w:name w:val="index 9"/>
    <w:basedOn w:val="Normal"/>
    <w:next w:val="Normal"/>
    <w:autoRedefine/>
    <w:unhideWhenUsed/>
    <w:rsid w:val="000224AB"/>
    <w:pPr>
      <w:ind w:left="1800" w:hanging="200"/>
    </w:pPr>
  </w:style>
  <w:style w:type="paragraph" w:styleId="IndexHeading">
    <w:name w:val="index heading"/>
    <w:basedOn w:val="Normal"/>
    <w:next w:val="Index1"/>
    <w:unhideWhenUsed/>
    <w:rsid w:val="0002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1481">
      <w:bodyDiv w:val="1"/>
      <w:marLeft w:val="0"/>
      <w:marRight w:val="0"/>
      <w:marTop w:val="0"/>
      <w:marBottom w:val="0"/>
      <w:divBdr>
        <w:top w:val="none" w:sz="0" w:space="0" w:color="auto"/>
        <w:left w:val="none" w:sz="0" w:space="0" w:color="auto"/>
        <w:bottom w:val="none" w:sz="0" w:space="0" w:color="auto"/>
        <w:right w:val="none" w:sz="0" w:space="0" w:color="auto"/>
      </w:divBdr>
    </w:div>
    <w:div w:id="372464519">
      <w:bodyDiv w:val="1"/>
      <w:marLeft w:val="0"/>
      <w:marRight w:val="0"/>
      <w:marTop w:val="0"/>
      <w:marBottom w:val="0"/>
      <w:divBdr>
        <w:top w:val="none" w:sz="0" w:space="0" w:color="auto"/>
        <w:left w:val="none" w:sz="0" w:space="0" w:color="auto"/>
        <w:bottom w:val="none" w:sz="0" w:space="0" w:color="auto"/>
        <w:right w:val="none" w:sz="0" w:space="0" w:color="auto"/>
      </w:divBdr>
    </w:div>
    <w:div w:id="907106696">
      <w:bodyDiv w:val="1"/>
      <w:marLeft w:val="0"/>
      <w:marRight w:val="0"/>
      <w:marTop w:val="0"/>
      <w:marBottom w:val="0"/>
      <w:divBdr>
        <w:top w:val="none" w:sz="0" w:space="0" w:color="auto"/>
        <w:left w:val="none" w:sz="0" w:space="0" w:color="auto"/>
        <w:bottom w:val="none" w:sz="0" w:space="0" w:color="auto"/>
        <w:right w:val="none" w:sz="0" w:space="0" w:color="auto"/>
      </w:divBdr>
    </w:div>
    <w:div w:id="1162740370">
      <w:bodyDiv w:val="1"/>
      <w:marLeft w:val="375"/>
      <w:marRight w:val="0"/>
      <w:marTop w:val="375"/>
      <w:marBottom w:val="0"/>
      <w:divBdr>
        <w:top w:val="none" w:sz="0" w:space="0" w:color="auto"/>
        <w:left w:val="none" w:sz="0" w:space="0" w:color="auto"/>
        <w:bottom w:val="none" w:sz="0" w:space="0" w:color="auto"/>
        <w:right w:val="none" w:sz="0" w:space="0" w:color="auto"/>
      </w:divBdr>
    </w:div>
    <w:div w:id="1461849157">
      <w:bodyDiv w:val="1"/>
      <w:marLeft w:val="0"/>
      <w:marRight w:val="0"/>
      <w:marTop w:val="0"/>
      <w:marBottom w:val="0"/>
      <w:divBdr>
        <w:top w:val="none" w:sz="0" w:space="0" w:color="auto"/>
        <w:left w:val="none" w:sz="0" w:space="0" w:color="auto"/>
        <w:bottom w:val="none" w:sz="0" w:space="0" w:color="auto"/>
        <w:right w:val="none" w:sz="0" w:space="0" w:color="auto"/>
      </w:divBdr>
    </w:div>
    <w:div w:id="1997562415">
      <w:bodyDiv w:val="1"/>
      <w:marLeft w:val="0"/>
      <w:marRight w:val="0"/>
      <w:marTop w:val="0"/>
      <w:marBottom w:val="0"/>
      <w:divBdr>
        <w:top w:val="none" w:sz="0" w:space="0" w:color="auto"/>
        <w:left w:val="none" w:sz="0" w:space="0" w:color="auto"/>
        <w:bottom w:val="none" w:sz="0" w:space="0" w:color="auto"/>
        <w:right w:val="none" w:sz="0" w:space="0" w:color="auto"/>
      </w:divBdr>
    </w:div>
    <w:div w:id="200147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725ED8FE9CA42B162EC3874DC9B7E" ma:contentTypeVersion="2" ma:contentTypeDescription="Create a new document." ma:contentTypeScope="" ma:versionID="6f0c0907b0aa3c8b16926c564a703f8a">
  <xsd:schema xmlns:xsd="http://www.w3.org/2001/XMLSchema" xmlns:xs="http://www.w3.org/2001/XMLSchema" xmlns:p="http://schemas.microsoft.com/office/2006/metadata/properties" xmlns:ns2="939d0e50-ccf9-41b8-8b3c-6f36263b9578" targetNamespace="http://schemas.microsoft.com/office/2006/metadata/properties" ma:root="true" ma:fieldsID="5b0a3945545e6bdff320a9dc45b83717" ns2:_="">
    <xsd:import namespace="939d0e50-ccf9-41b8-8b3c-6f36263b957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d0e50-ccf9-41b8-8b3c-6f36263b9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7AFAD-3A2D-4FEB-93F8-3176CDB4C4DF}">
  <ds:schemaRefs>
    <ds:schemaRef ds:uri="http://schemas.microsoft.com/sharepoint/v3/contenttype/forms"/>
  </ds:schemaRefs>
</ds:datastoreItem>
</file>

<file path=customXml/itemProps2.xml><?xml version="1.0" encoding="utf-8"?>
<ds:datastoreItem xmlns:ds="http://schemas.openxmlformats.org/officeDocument/2006/customXml" ds:itemID="{54B79E02-2693-450D-B5A2-4AA7426E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d0e50-ccf9-41b8-8b3c-6f36263b9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FD97D-3428-4ED5-BD88-58765D86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PART 0</vt:lpstr>
    </vt:vector>
  </TitlesOfParts>
  <Company>Roulunds Codan (Corby) Ltd</Company>
  <LinksUpToDate>false</LinksUpToDate>
  <CharactersWithSpaces>4523</CharactersWithSpaces>
  <SharedDoc>false</SharedDoc>
  <HLinks>
    <vt:vector size="6" baseType="variant">
      <vt:variant>
        <vt:i4>3866707</vt:i4>
      </vt:variant>
      <vt:variant>
        <vt:i4>0</vt:i4>
      </vt:variant>
      <vt:variant>
        <vt:i4>0</vt:i4>
      </vt:variant>
      <vt:variant>
        <vt:i4>5</vt:i4>
      </vt:variant>
      <vt:variant>
        <vt:lpwstr>mailto:chairman.disabilities@archerygb.org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0</dc:title>
  <dc:creator>Andy Tonkin</dc:creator>
  <cp:lastModifiedBy>Katy Lipscomb</cp:lastModifiedBy>
  <cp:revision>2</cp:revision>
  <cp:lastPrinted>2016-09-07T18:59:00Z</cp:lastPrinted>
  <dcterms:created xsi:type="dcterms:W3CDTF">2017-04-02T14:40:00Z</dcterms:created>
  <dcterms:modified xsi:type="dcterms:W3CDTF">2017-04-02T14:40:00Z</dcterms:modified>
</cp:coreProperties>
</file>